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23E68E3A" w:rsidR="009815C7" w:rsidRDefault="00434300" w:rsidP="00794191">
      <w:pPr>
        <w:spacing w:after="0" w:line="240" w:lineRule="auto"/>
        <w:jc w:val="center"/>
        <w:rPr>
          <w:rFonts w:ascii="Sylfaen" w:hAnsi="Sylfaen" w:cs="Sylfaen"/>
          <w:b/>
          <w:lang w:val="ka-GE"/>
        </w:rPr>
      </w:pPr>
      <w:r>
        <w:rPr>
          <w:rFonts w:ascii="Sylfaen" w:hAnsi="Sylfaen" w:cs="Sylfaen"/>
          <w:b/>
          <w:lang w:val="ka-GE"/>
        </w:rPr>
        <w:t xml:space="preserve">ბახტრიონის სატუმბო სადგურის მოდერნიზაციის </w:t>
      </w:r>
    </w:p>
    <w:p w14:paraId="1C55C4EC" w14:textId="5C1D70E9" w:rsidR="00BE50F1" w:rsidRPr="00BE50F1" w:rsidRDefault="00BE50F1" w:rsidP="00794191">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22D4CDF1" w14:textId="0930DFAB" w:rsidR="008647CD"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 xml:space="preserve">(GWP)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56BD6">
        <w:rPr>
          <w:rFonts w:ascii="Sylfaen" w:hAnsi="Sylfaen" w:cs="Sylfaen"/>
          <w:lang w:val="ka-GE"/>
        </w:rPr>
        <w:t>ბახტრიონის სატუმბო სადგურის მოდერნიზაციის შესყიდვაზე.</w:t>
      </w:r>
    </w:p>
    <w:p w14:paraId="33015E17" w14:textId="733F27A3" w:rsidR="00BD4E51" w:rsidRDefault="00BD4E51" w:rsidP="001B055A">
      <w:pPr>
        <w:spacing w:after="0" w:line="240" w:lineRule="auto"/>
        <w:jc w:val="both"/>
        <w:rPr>
          <w:rFonts w:ascii="Sylfaen" w:hAnsi="Sylfaen" w:cs="Sylfaen"/>
          <w:lang w:val="ka-GE"/>
        </w:rPr>
      </w:pPr>
    </w:p>
    <w:p w14:paraId="1E6AEE07" w14:textId="5AADDB43" w:rsidR="00471713" w:rsidRPr="00DA4378" w:rsidRDefault="00BD4E51" w:rsidP="001B055A">
      <w:pPr>
        <w:spacing w:after="0" w:line="240" w:lineRule="auto"/>
        <w:jc w:val="both"/>
        <w:rPr>
          <w:rFonts w:ascii="Sylfaen" w:hAnsi="Sylfaen" w:cs="Calibri"/>
          <w:lang w:val="ka-GE"/>
        </w:rPr>
      </w:pPr>
      <w:bookmarkStart w:id="0" w:name="_GoBack"/>
      <w:r w:rsidRPr="00920492">
        <w:rPr>
          <w:rFonts w:ascii="Sylfaen" w:hAnsi="Sylfaen" w:cs="Sylfaen"/>
          <w:b/>
          <w:lang w:val="ka-GE"/>
        </w:rPr>
        <w:t>შენიშვნა:</w:t>
      </w:r>
      <w:bookmarkEnd w:id="0"/>
      <w:r>
        <w:rPr>
          <w:rFonts w:ascii="Sylfaen" w:hAnsi="Sylfaen" w:cs="Sylfaen"/>
          <w:lang w:val="ka-GE"/>
        </w:rPr>
        <w:t xml:space="preserve"> </w:t>
      </w: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Pr>
          <w:rFonts w:ascii="Sylfaen" w:hAnsi="Sylfaen" w:cs="Calibri"/>
          <w:lang w:val="ka-GE"/>
        </w:rPr>
        <w:t xml:space="preserve"> მზად არის დაინტერესებულ კომპანი</w:t>
      </w:r>
      <w:r w:rsidR="00471713">
        <w:rPr>
          <w:rFonts w:ascii="Sylfaen" w:hAnsi="Sylfaen" w:cs="Calibri"/>
          <w:lang w:val="ka-GE"/>
        </w:rPr>
        <w:t>ა</w:t>
      </w:r>
      <w:r>
        <w:rPr>
          <w:rFonts w:ascii="Sylfaen" w:hAnsi="Sylfaen" w:cs="Calibri"/>
          <w:lang w:val="ka-GE"/>
        </w:rPr>
        <w:t xml:space="preserve">ს სატენდერო წინადადების წარმოდგენამდე ადგილზე დაათვალიერებინოს </w:t>
      </w:r>
      <w:r w:rsidR="00471713">
        <w:rPr>
          <w:rFonts w:ascii="Sylfaen" w:hAnsi="Sylfaen" w:cs="Calibri"/>
          <w:lang w:val="ka-GE"/>
        </w:rPr>
        <w:t xml:space="preserve">ბახტრიონის </w:t>
      </w:r>
      <w:r>
        <w:rPr>
          <w:rFonts w:ascii="Sylfaen" w:hAnsi="Sylfaen" w:cs="Calibri"/>
          <w:lang w:val="ka-GE"/>
        </w:rPr>
        <w:t>სატუმბო სადგური.</w:t>
      </w:r>
      <w:r w:rsidR="00471713">
        <w:rPr>
          <w:rFonts w:ascii="Sylfaen" w:hAnsi="Sylfaen" w:cs="Calibri"/>
          <w:lang w:val="ka-GE"/>
        </w:rPr>
        <w:t xml:space="preserve"> ობიექტის ადგილზე ნახვის სურვილის შემთხვევაში გთხოვთ დაუკავშირდეთ ჩვენს წარმოადგენელს:დავით დვალი,</w:t>
      </w:r>
      <w:r w:rsidR="00471713" w:rsidRPr="00471713">
        <w:rPr>
          <w:rFonts w:ascii="Sylfaen" w:hAnsi="Sylfaen" w:cs="Calibri"/>
          <w:lang w:val="ka-GE"/>
        </w:rPr>
        <w:t>595</w:t>
      </w:r>
      <w:r w:rsidR="00E4722A">
        <w:rPr>
          <w:rFonts w:ascii="Sylfaen" w:hAnsi="Sylfaen" w:cs="Calibri"/>
        </w:rPr>
        <w:t xml:space="preserve"> </w:t>
      </w:r>
      <w:r w:rsidR="00471713" w:rsidRPr="00471713">
        <w:rPr>
          <w:rFonts w:ascii="Sylfaen" w:hAnsi="Sylfaen" w:cs="Calibri"/>
          <w:lang w:val="ka-GE"/>
        </w:rPr>
        <w:t>088</w:t>
      </w:r>
      <w:r w:rsidR="00E4722A">
        <w:rPr>
          <w:rFonts w:ascii="Sylfaen" w:hAnsi="Sylfaen" w:cs="Calibri"/>
        </w:rPr>
        <w:t xml:space="preserve"> </w:t>
      </w:r>
      <w:r w:rsidR="00471713" w:rsidRPr="00471713">
        <w:rPr>
          <w:rFonts w:ascii="Sylfaen" w:hAnsi="Sylfaen" w:cs="Calibri"/>
          <w:lang w:val="ka-GE"/>
        </w:rPr>
        <w:t>119</w:t>
      </w:r>
    </w:p>
    <w:p w14:paraId="0353AF42" w14:textId="3AAE10D2" w:rsidR="001B055A" w:rsidRPr="007B0071" w:rsidRDefault="001B055A" w:rsidP="001B055A">
      <w:pPr>
        <w:spacing w:after="0" w:line="240" w:lineRule="auto"/>
        <w:jc w:val="both"/>
        <w:rPr>
          <w:rFonts w:ascii="Sylfaen" w:hAnsi="Sylfaen" w:cs="Sylfaen"/>
          <w:b/>
          <w:bCs/>
        </w:rPr>
      </w:pPr>
    </w:p>
    <w:p w14:paraId="6AA3DC1E" w14:textId="5270A703" w:rsidR="0024045E"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39CBC055" w14:textId="62C2F294" w:rsidR="0024045E" w:rsidRDefault="0024045E" w:rsidP="001B055A">
      <w:pPr>
        <w:spacing w:after="0" w:line="240" w:lineRule="auto"/>
        <w:jc w:val="both"/>
        <w:rPr>
          <w:rFonts w:ascii="Sylfaen" w:hAnsi="Sylfaen"/>
          <w:b/>
          <w:lang w:val="ka-GE"/>
        </w:rPr>
      </w:pPr>
    </w:p>
    <w:p w14:paraId="28EBD340" w14:textId="77777777" w:rsidR="00A83AF9" w:rsidRPr="00A83AF9" w:rsidRDefault="00A83AF9" w:rsidP="00A83AF9">
      <w:pPr>
        <w:tabs>
          <w:tab w:val="left" w:pos="1380"/>
        </w:tabs>
        <w:spacing w:after="120"/>
        <w:jc w:val="both"/>
        <w:rPr>
          <w:rFonts w:ascii="Sylfaen" w:hAnsi="Sylfaen" w:cs="Sylfaen"/>
          <w:lang w:val="ka-GE"/>
        </w:rPr>
      </w:pPr>
      <w:r w:rsidRPr="00A83AF9">
        <w:rPr>
          <w:rFonts w:ascii="Sylfaen" w:hAnsi="Sylfaen" w:cs="Sylfaen"/>
          <w:lang w:val="ka-GE"/>
        </w:rPr>
        <w:t xml:space="preserve">ბახტრიონის სატუმბო სადგური მდებარეობს ბახტრიონის ქ. N14-ში, ზღვის დონიდან 440 ნიშნულზე და წყალმომარაგების განხორციელების კუთხით წარმოადგენს ქალაქში ყველაზე მასშტაბურ ქსელში გამშვებ სატუმბო სადგურს. ტერიტორიაზე ასევე განთავსებულია 471 ნიშნულზე მდებარე 2 ერთეული 5,000მ3 ტევადობის რეზერვუარი. </w:t>
      </w:r>
    </w:p>
    <w:p w14:paraId="6BE0F0B3" w14:textId="7587B06D" w:rsidR="00A83AF9" w:rsidRPr="00A83AF9" w:rsidRDefault="00A83AF9" w:rsidP="00A83AF9">
      <w:pPr>
        <w:spacing w:after="0" w:line="240" w:lineRule="auto"/>
        <w:jc w:val="both"/>
        <w:rPr>
          <w:rFonts w:ascii="Sylfaen" w:hAnsi="Sylfaen" w:cs="Sylfaen"/>
        </w:rPr>
      </w:pPr>
      <w:r w:rsidRPr="00A83AF9">
        <w:rPr>
          <w:rFonts w:ascii="Sylfaen" w:hAnsi="Sylfaen" w:cs="Sylfaen"/>
          <w:lang w:val="ka-GE"/>
        </w:rPr>
        <w:t>სატუმბო სადგური უწყვეტ რეჟიმში უზრუნველყოფს ვაკისა და მთაწმინდის რაიონების, ჯამში 55,000 აბონენტის წყალმომარაგებას და აერთიანებს 6 წყალდენს</w:t>
      </w:r>
      <w:r>
        <w:rPr>
          <w:rFonts w:ascii="Sylfaen" w:hAnsi="Sylfaen" w:cs="Sylfaen"/>
        </w:rPr>
        <w:t>.</w:t>
      </w:r>
    </w:p>
    <w:p w14:paraId="4285F4D2" w14:textId="77777777" w:rsidR="00A83AF9" w:rsidRPr="007B0071" w:rsidRDefault="00A83AF9" w:rsidP="00A83AF9">
      <w:pPr>
        <w:spacing w:after="0" w:line="240" w:lineRule="auto"/>
        <w:jc w:val="both"/>
        <w:rPr>
          <w:rFonts w:ascii="Sylfaen" w:hAnsi="Sylfaen"/>
          <w:b/>
          <w:lang w:val="ka-GE"/>
        </w:rPr>
      </w:pPr>
    </w:p>
    <w:p w14:paraId="3C612F9E" w14:textId="7E47F5AC" w:rsidR="00E26764" w:rsidRPr="00B74ABC" w:rsidRDefault="00E26764" w:rsidP="00E26764">
      <w:pPr>
        <w:jc w:val="both"/>
        <w:rPr>
          <w:rFonts w:ascii="Sylfaen" w:hAnsi="Sylfaen" w:cs="Sylfaen"/>
          <w:lang w:val="ka-GE"/>
        </w:rPr>
      </w:pPr>
      <w:r w:rsidRPr="00B74ABC">
        <w:rPr>
          <w:rFonts w:ascii="Sylfaen" w:hAnsi="Sylfaen" w:cs="Sylfaen"/>
          <w:lang w:val="ka-GE"/>
        </w:rPr>
        <w:t>ბახტრიონის სატუმბო სადგურში არსებული 6 კვ-ის გამანაწილებელი მოწყობილობა იკვებება ქ/ს „საბურთალო 1“-ის 6კვ. გამანაწილებელი მოწყობილობიდან გამომავალი ორი ფიდერით: №9 და №28.  სატუმბო სადგურის შემომყვნი უჯრედები არის მოძველებული. მასში დამონტაჟებულია ზეთიანი ამომრთველები, რომლებიც ასევე იმყოფება მოძველებულ და არასაიმედო მდგომარეობაში, რაც იწვევს სადგურში ელ.ენერგიის შეფერხებით მიწოდებას და ქმნის სატუმბოს ელ.მომარაგების არასტაბილურობას. შესაბამისად, საჭიროა  №9 და №28 ფიდერების შემომყვანი უჯრედების განახლება ახალი 6 კვ-ის უჯრედებით, რომლებშიც დამონტაჟებული იქნება ვაკუუმური ამომრთველები.</w:t>
      </w:r>
    </w:p>
    <w:p w14:paraId="776C81F5" w14:textId="3217ED17" w:rsidR="00E26764" w:rsidRDefault="00E26764" w:rsidP="00E26764">
      <w:pPr>
        <w:tabs>
          <w:tab w:val="left" w:pos="1380"/>
        </w:tabs>
        <w:jc w:val="both"/>
        <w:rPr>
          <w:rFonts w:ascii="Sylfaen" w:hAnsi="Sylfaen" w:cs="Sylfaen"/>
          <w:lang w:val="ka-GE"/>
        </w:rPr>
      </w:pPr>
      <w:r w:rsidRPr="00B74ABC">
        <w:rPr>
          <w:rFonts w:ascii="Sylfaen" w:hAnsi="Sylfaen" w:cs="Sylfaen"/>
          <w:lang w:val="ka-GE"/>
        </w:rPr>
        <w:t>აგრეთვე უნდა შეიცვალოს №9 და №28  ფიდერებზე უჯრედების 6 კვ-ის სასალტე გამთიშველები და სექციებს  შორის არსებული სასექციო გამთიშველი, რომლითაც ზემოთ აღნიშნული ფიდერებს შორის არსებობს სექციონირება.</w:t>
      </w:r>
    </w:p>
    <w:p w14:paraId="5AEF566F" w14:textId="44873614" w:rsidR="00374AFF" w:rsidRDefault="00374AFF" w:rsidP="00E26764">
      <w:pPr>
        <w:tabs>
          <w:tab w:val="left" w:pos="1380"/>
        </w:tabs>
        <w:jc w:val="both"/>
        <w:rPr>
          <w:rFonts w:ascii="Sylfaen" w:hAnsi="Sylfaen" w:cs="Sylfaen"/>
          <w:lang w:val="ka-GE"/>
        </w:rPr>
      </w:pPr>
    </w:p>
    <w:p w14:paraId="26A24F96" w14:textId="4C2A0EE2" w:rsidR="00374AFF" w:rsidRDefault="00374AFF" w:rsidP="00374AFF">
      <w:pPr>
        <w:tabs>
          <w:tab w:val="left" w:pos="1380"/>
        </w:tabs>
        <w:jc w:val="both"/>
        <w:rPr>
          <w:rFonts w:ascii="Sylfaen" w:hAnsi="Sylfaen" w:cs="Sylfaen"/>
        </w:rPr>
      </w:pPr>
      <w:r>
        <w:rPr>
          <w:rFonts w:ascii="Sylfaen" w:hAnsi="Sylfaen" w:cs="Sylfaen"/>
          <w:lang w:val="ka-GE"/>
        </w:rPr>
        <w:t xml:space="preserve">დამატებითი ტექნიკური დეტალები გთხოვთ იხილოთ დანართში </w:t>
      </w:r>
      <w:r>
        <w:rPr>
          <w:rFonts w:ascii="Sylfaen" w:hAnsi="Sylfaen" w:cs="Sylfaen"/>
        </w:rPr>
        <w:t>N1.</w:t>
      </w:r>
    </w:p>
    <w:bookmarkStart w:id="1" w:name="_MON_1645267312"/>
    <w:bookmarkEnd w:id="1"/>
    <w:p w14:paraId="0489DD3B" w14:textId="001BA306" w:rsidR="003157B5" w:rsidRPr="00387DC7" w:rsidRDefault="00C051B6" w:rsidP="00374AFF">
      <w:pPr>
        <w:tabs>
          <w:tab w:val="left" w:pos="1380"/>
        </w:tabs>
        <w:jc w:val="both"/>
        <w:rPr>
          <w:rFonts w:ascii="Sylfaen" w:hAnsi="Sylfaen" w:cs="Sylfaen"/>
          <w:lang w:val="ka-GE"/>
        </w:rPr>
      </w:pPr>
      <w:r>
        <w:rPr>
          <w:rFonts w:ascii="Sylfaen" w:hAnsi="Sylfaen" w:cs="Sylfaen"/>
          <w:lang w:val="ka-GE"/>
        </w:rPr>
        <w:object w:dxaOrig="1508" w:dyaOrig="983" w14:anchorId="3F49D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9" o:title=""/>
          </v:shape>
          <o:OLEObject Type="Embed" ProgID="Word.Document.12" ShapeID="_x0000_i1028" DrawAspect="Icon" ObjectID="_1645268477" r:id="rId10">
            <o:FieldCodes>\s</o:FieldCodes>
          </o:OLEObject>
        </w:object>
      </w:r>
    </w:p>
    <w:p w14:paraId="1232678F" w14:textId="77777777" w:rsidR="00374AFF" w:rsidRPr="00B74ABC" w:rsidRDefault="00374AFF" w:rsidP="00E26764">
      <w:pPr>
        <w:tabs>
          <w:tab w:val="left" w:pos="1380"/>
        </w:tabs>
        <w:jc w:val="both"/>
        <w:rPr>
          <w:rFonts w:ascii="Sylfaen" w:hAnsi="Sylfaen" w:cs="Sylfaen"/>
          <w:lang w:val="ka-GE"/>
        </w:rPr>
      </w:pPr>
    </w:p>
    <w:p w14:paraId="4FE7EB78" w14:textId="456B5A7B" w:rsidR="00374AFF" w:rsidRDefault="00374AFF" w:rsidP="00E26764">
      <w:pPr>
        <w:tabs>
          <w:tab w:val="left" w:pos="1380"/>
        </w:tabs>
        <w:jc w:val="both"/>
        <w:rPr>
          <w:rFonts w:ascii="Sylfaen" w:hAnsi="Sylfaen" w:cs="Sylfaen"/>
          <w:lang w:val="ka-GE"/>
        </w:rPr>
      </w:pPr>
    </w:p>
    <w:p w14:paraId="04B29EA3" w14:textId="19DEA3C1" w:rsidR="00AB7559" w:rsidRDefault="00AB7559" w:rsidP="00AB7559">
      <w:pPr>
        <w:pStyle w:val="ListParagraph"/>
        <w:tabs>
          <w:tab w:val="left" w:pos="1380"/>
        </w:tabs>
        <w:spacing w:after="160" w:line="259" w:lineRule="auto"/>
        <w:jc w:val="both"/>
        <w:rPr>
          <w:rFonts w:ascii="Sylfaen" w:hAnsi="Sylfaen" w:cs="Sylfaen"/>
          <w:lang w:val="ka-GE"/>
        </w:rPr>
      </w:pPr>
    </w:p>
    <w:p w14:paraId="0D3CF277" w14:textId="3E228EAE" w:rsidR="00F76C63" w:rsidRDefault="00F76C63" w:rsidP="00AB7559">
      <w:pPr>
        <w:pStyle w:val="ListParagraph"/>
        <w:tabs>
          <w:tab w:val="left" w:pos="1380"/>
        </w:tabs>
        <w:spacing w:after="160" w:line="259" w:lineRule="auto"/>
        <w:jc w:val="both"/>
        <w:rPr>
          <w:rFonts w:ascii="Sylfaen" w:hAnsi="Sylfaen" w:cs="Sylfaen"/>
          <w:lang w:val="ka-GE"/>
        </w:rPr>
      </w:pPr>
    </w:p>
    <w:p w14:paraId="25183275" w14:textId="62E0611B" w:rsidR="00F76C63" w:rsidRDefault="00F76C63" w:rsidP="00AB7559">
      <w:pPr>
        <w:pStyle w:val="ListParagraph"/>
        <w:tabs>
          <w:tab w:val="left" w:pos="1380"/>
        </w:tabs>
        <w:spacing w:after="160" w:line="259" w:lineRule="auto"/>
        <w:jc w:val="both"/>
        <w:rPr>
          <w:rFonts w:ascii="Sylfaen" w:hAnsi="Sylfaen" w:cs="Sylfaen"/>
          <w:lang w:val="ka-GE"/>
        </w:rPr>
      </w:pPr>
    </w:p>
    <w:p w14:paraId="54FA2292" w14:textId="77777777" w:rsidR="00A83AF9" w:rsidRDefault="00A83AF9" w:rsidP="00AB7559">
      <w:pPr>
        <w:pStyle w:val="ListParagraph"/>
        <w:tabs>
          <w:tab w:val="left" w:pos="1380"/>
        </w:tabs>
        <w:spacing w:after="160" w:line="259" w:lineRule="auto"/>
        <w:jc w:val="both"/>
        <w:rPr>
          <w:rFonts w:ascii="Sylfaen" w:hAnsi="Sylfaen" w:cs="Sylfaen"/>
          <w:lang w:val="ka-GE"/>
        </w:rPr>
      </w:pPr>
    </w:p>
    <w:p w14:paraId="46ABD66A" w14:textId="2341CE6F" w:rsidR="00F76C63" w:rsidRDefault="00F76C63" w:rsidP="00AB7559">
      <w:pPr>
        <w:pStyle w:val="ListParagraph"/>
        <w:tabs>
          <w:tab w:val="left" w:pos="1380"/>
        </w:tabs>
        <w:spacing w:after="160" w:line="259" w:lineRule="auto"/>
        <w:jc w:val="both"/>
        <w:rPr>
          <w:rFonts w:ascii="Sylfaen" w:hAnsi="Sylfaen" w:cs="Sylfaen"/>
          <w:lang w:val="ka-GE"/>
        </w:rPr>
      </w:pPr>
    </w:p>
    <w:p w14:paraId="2E9944C1" w14:textId="21F43353" w:rsidR="00F76C63" w:rsidRDefault="00F76C63" w:rsidP="00AB7559">
      <w:pPr>
        <w:pStyle w:val="ListParagraph"/>
        <w:tabs>
          <w:tab w:val="left" w:pos="1380"/>
        </w:tabs>
        <w:spacing w:after="160" w:line="259" w:lineRule="auto"/>
        <w:jc w:val="both"/>
        <w:rPr>
          <w:rFonts w:ascii="Sylfaen" w:hAnsi="Sylfaen" w:cs="Sylfaen"/>
          <w:lang w:val="ka-GE"/>
        </w:rPr>
      </w:pPr>
    </w:p>
    <w:p w14:paraId="3061C90D" w14:textId="2CA14268" w:rsidR="00F76C63" w:rsidRDefault="00F76C63" w:rsidP="00AB7559">
      <w:pPr>
        <w:pStyle w:val="ListParagraph"/>
        <w:tabs>
          <w:tab w:val="left" w:pos="1380"/>
        </w:tabs>
        <w:spacing w:after="160" w:line="259" w:lineRule="auto"/>
        <w:jc w:val="both"/>
        <w:rPr>
          <w:rFonts w:ascii="Sylfaen" w:hAnsi="Sylfaen" w:cs="Sylfaen"/>
          <w:lang w:val="ka-GE"/>
        </w:rPr>
      </w:pPr>
    </w:p>
    <w:p w14:paraId="417D5D1C" w14:textId="206AA9AE" w:rsidR="00F76C63" w:rsidRDefault="00F76C63" w:rsidP="00AB7559">
      <w:pPr>
        <w:pStyle w:val="ListParagraph"/>
        <w:tabs>
          <w:tab w:val="left" w:pos="1380"/>
        </w:tabs>
        <w:spacing w:after="160" w:line="259" w:lineRule="auto"/>
        <w:jc w:val="both"/>
        <w:rPr>
          <w:rFonts w:ascii="Sylfaen" w:hAnsi="Sylfaen" w:cs="Sylfaen"/>
          <w:lang w:val="ka-GE"/>
        </w:rPr>
      </w:pPr>
    </w:p>
    <w:p w14:paraId="36FC4BFB" w14:textId="42CBC0B1" w:rsidR="00F76C63" w:rsidRDefault="00F76C63" w:rsidP="00AB7559">
      <w:pPr>
        <w:pStyle w:val="ListParagraph"/>
        <w:tabs>
          <w:tab w:val="left" w:pos="1380"/>
        </w:tabs>
        <w:spacing w:after="160" w:line="259" w:lineRule="auto"/>
        <w:jc w:val="both"/>
        <w:rPr>
          <w:rFonts w:ascii="Sylfaen" w:hAnsi="Sylfaen" w:cs="Sylfaen"/>
          <w:lang w:val="ka-GE"/>
        </w:rPr>
      </w:pPr>
    </w:p>
    <w:p w14:paraId="1DAC162D" w14:textId="33398BF8" w:rsidR="00F76C63" w:rsidRDefault="00F76C63" w:rsidP="00AB7559">
      <w:pPr>
        <w:pStyle w:val="ListParagraph"/>
        <w:tabs>
          <w:tab w:val="left" w:pos="1380"/>
        </w:tabs>
        <w:spacing w:after="160" w:line="259" w:lineRule="auto"/>
        <w:jc w:val="both"/>
        <w:rPr>
          <w:rFonts w:ascii="Sylfaen" w:hAnsi="Sylfaen" w:cs="Sylfaen"/>
          <w:lang w:val="ka-GE"/>
        </w:rPr>
      </w:pPr>
    </w:p>
    <w:p w14:paraId="41BB84A8" w14:textId="1A0E2984" w:rsidR="00F76C63" w:rsidRDefault="00F76C63" w:rsidP="00AB7559">
      <w:pPr>
        <w:pStyle w:val="ListParagraph"/>
        <w:tabs>
          <w:tab w:val="left" w:pos="1380"/>
        </w:tabs>
        <w:spacing w:after="160" w:line="259" w:lineRule="auto"/>
        <w:jc w:val="both"/>
        <w:rPr>
          <w:rFonts w:ascii="Sylfaen" w:hAnsi="Sylfaen" w:cs="Sylfaen"/>
          <w:lang w:val="ka-GE"/>
        </w:rPr>
      </w:pPr>
    </w:p>
    <w:p w14:paraId="4A67D0EE" w14:textId="1EDEDD2C" w:rsidR="00AB7559" w:rsidRDefault="00AB7559" w:rsidP="00F90B03">
      <w:pPr>
        <w:rPr>
          <w:rFonts w:ascii="Sylfaen" w:hAnsi="Sylfaen"/>
          <w:b/>
          <w:lang w:val="ka-GE"/>
        </w:rPr>
      </w:pPr>
    </w:p>
    <w:p w14:paraId="1B89961A" w14:textId="415E89A4" w:rsidR="00F90B03" w:rsidRDefault="004C6C80" w:rsidP="00F90B03">
      <w:pPr>
        <w:rPr>
          <w:rFonts w:ascii="Sylfaen" w:hAnsi="Sylfaen"/>
          <w:b/>
          <w:lang w:val="ka-GE"/>
        </w:rPr>
      </w:pPr>
      <w:r>
        <w:rPr>
          <w:rFonts w:ascii="Sylfaen" w:hAnsi="Sylfaen"/>
          <w:b/>
          <w:lang w:val="ka-GE"/>
        </w:rPr>
        <w:t>განსაკუთრებული მო</w:t>
      </w:r>
      <w:r w:rsidR="008C0A74" w:rsidRPr="007B0071">
        <w:rPr>
          <w:rFonts w:ascii="Sylfaen" w:hAnsi="Sylfaen"/>
          <w:b/>
          <w:lang w:val="ka-GE"/>
        </w:rPr>
        <w:t>თხოვნები</w:t>
      </w:r>
      <w:r w:rsidR="000353F8" w:rsidRPr="007B0071">
        <w:rPr>
          <w:rFonts w:ascii="Sylfaen" w:hAnsi="Sylfaen"/>
          <w:b/>
          <w:lang w:val="ka-GE"/>
        </w:rPr>
        <w:t>:</w:t>
      </w:r>
    </w:p>
    <w:p w14:paraId="0FC0DDC4" w14:textId="77A0336E" w:rsidR="000B079D" w:rsidRDefault="004C6C80" w:rsidP="00F90B03">
      <w:pPr>
        <w:rPr>
          <w:rFonts w:ascii="Sylfaen" w:hAnsi="Sylfaen"/>
          <w:b/>
          <w:lang w:val="ka-GE"/>
        </w:rPr>
      </w:pPr>
      <w:r>
        <w:rPr>
          <w:rFonts w:ascii="Sylfaen" w:hAnsi="Sylfaen"/>
          <w:b/>
          <w:lang w:val="ka-GE"/>
        </w:rPr>
        <w:t>-გამარჯვებული კომპანია ვალდებულია ხელშეკრულების გაფორმების შემდეგ დამკვეთთან შეთანხმებულ გონივრულ ვადაში წარმოადგინოს პროექტის გრაფიკული ნახაზი და წინასწარი ხარჯთაღრიცხვა;</w:t>
      </w:r>
    </w:p>
    <w:p w14:paraId="4FA276F0" w14:textId="2536AFF1" w:rsidR="004C6C80" w:rsidRDefault="004C6C80" w:rsidP="004C6C80">
      <w:pPr>
        <w:tabs>
          <w:tab w:val="left" w:pos="1380"/>
        </w:tabs>
        <w:jc w:val="both"/>
        <w:rPr>
          <w:rFonts w:ascii="Sylfaen" w:hAnsi="Sylfaen"/>
          <w:b/>
          <w:lang w:val="ka-GE"/>
        </w:rPr>
      </w:pPr>
      <w:r>
        <w:rPr>
          <w:rFonts w:ascii="Sylfaen" w:hAnsi="Sylfaen"/>
          <w:b/>
          <w:lang w:val="ka-GE"/>
        </w:rPr>
        <w:t>-</w:t>
      </w:r>
      <w:r w:rsidRPr="004C6C80">
        <w:rPr>
          <w:rFonts w:ascii="Sylfaen" w:hAnsi="Sylfaen"/>
          <w:b/>
          <w:lang w:val="ka-GE"/>
        </w:rPr>
        <w:t>წინასწარი ხარჯთაღრიცხვის საფუძველი უნდა იყოს საქართველოს პრემიერ-მინისტრის 2014 წლის 14 იანვრის ბრძანება 152, "საქართველოს ტერიტორიაზე სამშენებლო სფეროში მარეგულირებელი ტექნიკური რეგლამენტების აღიარებისა და სამოქმედო დაშვების შესახებ", რომლის თანახმადაც აღიარებული და საქართველოს ტერიტორიაზე სამოქმედოდ დაშვებულია 1992 წლამდე მომქმედი სამშენებლო ნორმები და წესები. ასევე, წინასწარი ხარჯთაღრიცხვა წარმოდგენილი უნდა იყოს რესურსულად (13 შიფრიანი), შრომის დანახარჯებისა (კაც/სთ) და მანქანა-მექანიზმების (მანქ/სთ) ღირ</w:t>
      </w:r>
      <w:r w:rsidR="00C051B6">
        <w:rPr>
          <w:rFonts w:ascii="Sylfaen" w:hAnsi="Sylfaen"/>
          <w:b/>
          <w:lang w:val="ka-GE"/>
        </w:rPr>
        <w:t>ებულებების მითითებით;</w:t>
      </w:r>
    </w:p>
    <w:p w14:paraId="3818D73B" w14:textId="77777777" w:rsidR="004C6C80" w:rsidRPr="004C6C80" w:rsidRDefault="004C6C80" w:rsidP="004C6C80">
      <w:pPr>
        <w:tabs>
          <w:tab w:val="left" w:pos="1380"/>
        </w:tabs>
        <w:jc w:val="both"/>
        <w:rPr>
          <w:rFonts w:ascii="Sylfaen" w:hAnsi="Sylfaen"/>
          <w:b/>
          <w:lang w:val="ka-GE"/>
        </w:rPr>
      </w:pPr>
      <w:r>
        <w:rPr>
          <w:rFonts w:ascii="Sylfaen" w:hAnsi="Sylfaen"/>
          <w:b/>
          <w:lang w:val="ka-GE"/>
        </w:rPr>
        <w:t>-</w:t>
      </w:r>
      <w:r w:rsidRPr="004C6C80">
        <w:rPr>
          <w:rFonts w:ascii="Sylfaen" w:hAnsi="Sylfaen"/>
          <w:b/>
          <w:lang w:val="ka-GE"/>
        </w:rPr>
        <w:t xml:space="preserve">პროექტის გრაფიკული ნახაზისა და წინასწარი ხარჯთაღრიცხვის ექსპერტიზა უნდა განხორციელდეს სახელმწიფოს მიერ აღიარებული დაწესებულების მიერ,   მშენებლობის შემფასებელთა კავშირის მიერ გამოცემული კვარტალური სამშენებლო რესურსული ფასების მიხედვით. </w:t>
      </w:r>
    </w:p>
    <w:p w14:paraId="57E209FB" w14:textId="30E3127B" w:rsidR="004C6C80" w:rsidRPr="007B0071" w:rsidRDefault="004C6C80" w:rsidP="00384F26">
      <w:pPr>
        <w:tabs>
          <w:tab w:val="left" w:pos="1380"/>
        </w:tabs>
        <w:jc w:val="both"/>
        <w:rPr>
          <w:rFonts w:ascii="Sylfaen" w:hAnsi="Sylfaen"/>
          <w:b/>
          <w:lang w:val="ka-GE"/>
        </w:rPr>
      </w:pPr>
      <w:r>
        <w:rPr>
          <w:rFonts w:ascii="Sylfaen" w:hAnsi="Sylfaen"/>
          <w:b/>
          <w:lang w:val="ka-GE"/>
        </w:rPr>
        <w:t>-</w:t>
      </w:r>
      <w:r w:rsidRPr="004C6C80">
        <w:rPr>
          <w:rFonts w:ascii="Sylfaen" w:hAnsi="Sylfaen"/>
          <w:b/>
          <w:lang w:val="ka-GE"/>
        </w:rPr>
        <w:t xml:space="preserve">სამუშაოების შესრულებაზე უნდა მომზადდეს ფორმა N2 და ფორმა N3. ასევე, სახელმწიფოს მიერ აღიარებული დაწესებულების მიერ უნდა მოხდეს შესრულებული სამშენებლო სამუშაოების ინსპექტირება სამუშაოების მიმდინარეობისას და დასრულებისას. სამუშაოების დასრულების შემდეგ მომზადებულ საბოლოო ფორმა N2-ს უნდა ჩაუტარდეს ექსპერტიზა და გაიცეს შესაბამისი საექსპერტო დასკვნა. </w:t>
      </w:r>
    </w:p>
    <w:p w14:paraId="29FDFF98" w14:textId="5B709925" w:rsidR="006301BA" w:rsidRPr="005A2014" w:rsidRDefault="0053604D" w:rsidP="00B57AB9">
      <w:pPr>
        <w:jc w:val="both"/>
        <w:rPr>
          <w:rFonts w:ascii="Sylfaen" w:hAnsi="Sylfaen" w:cs="Sylfaen"/>
          <w:b/>
          <w:lang w:val="ka-GE"/>
        </w:rPr>
      </w:pPr>
      <w:r w:rsidRPr="005A2014">
        <w:rPr>
          <w:rFonts w:ascii="Sylfaen" w:hAnsi="Sylfaen" w:cs="Sylfaen"/>
          <w:b/>
          <w:lang w:val="ka-GE"/>
        </w:rPr>
        <w:t>-ტენდერში გამარჯვებული კომპანია ვალდებულია უზრუნველყოს როგორც პროექტირების ასევე სამშენებლო სამუშაოების დაზღვევა.</w:t>
      </w:r>
      <w:r w:rsidR="000F3DD2" w:rsidRPr="005A2014">
        <w:rPr>
          <w:rFonts w:ascii="Sylfaen" w:hAnsi="Sylfaen" w:cs="Sylfaen"/>
          <w:b/>
          <w:lang w:val="ka-GE"/>
        </w:rPr>
        <w:t xml:space="preserve"> </w:t>
      </w:r>
    </w:p>
    <w:p w14:paraId="5BAEC7CD" w14:textId="4D428513" w:rsidR="0030730D" w:rsidRDefault="0030730D" w:rsidP="00B57AB9">
      <w:pPr>
        <w:jc w:val="both"/>
        <w:rPr>
          <w:rFonts w:ascii="Sylfaen" w:hAnsi="Sylfaen" w:cs="Sylfaen"/>
          <w:lang w:val="ka-GE"/>
        </w:rPr>
      </w:pPr>
    </w:p>
    <w:p w14:paraId="0BF80ACA" w14:textId="77777777" w:rsidR="00920492" w:rsidRDefault="00920492" w:rsidP="00B57AB9">
      <w:pPr>
        <w:jc w:val="both"/>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lastRenderedPageBreak/>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368C11D9" w:rsidR="00D527CB" w:rsidRDefault="00D527CB" w:rsidP="00B57AB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00137EB0">
        <w:rPr>
          <w:rFonts w:ascii="Sylfaen" w:hAnsi="Sylfaen"/>
          <w:color w:val="222222"/>
          <w:shd w:val="clear" w:color="auto" w:fill="FFFFFF"/>
          <w:lang w:val="ka-GE"/>
        </w:rPr>
        <w:t xml:space="preserve">მინიმუმ ერთი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920492">
        <w:rPr>
          <w:rFonts w:ascii="Sylfaen" w:hAnsi="Sylfaen" w:cs="Sylfaen"/>
          <w:color w:val="222222"/>
          <w:shd w:val="clear" w:color="auto" w:fill="FFFFFF"/>
          <w:lang w:val="ka-GE"/>
        </w:rPr>
        <w:t>ქვემოთ მოცემული ფასების</w:t>
      </w:r>
      <w:r w:rsidR="00762943">
        <w:rPr>
          <w:rFonts w:ascii="Sylfaen" w:hAnsi="Sylfaen" w:cs="Sylfaen"/>
          <w:color w:val="222222"/>
          <w:shd w:val="clear" w:color="auto" w:fill="FFFFFF"/>
          <w:lang w:val="ka-GE"/>
        </w:rPr>
        <w:t xml:space="preserve"> ცხრილის შესაბამისად</w:t>
      </w:r>
      <w:r w:rsidRPr="007B0071">
        <w:rPr>
          <w:rFonts w:ascii="Sylfaen" w:hAnsi="Sylfaen" w:cs="Sylfaen"/>
          <w:color w:val="222222"/>
          <w:shd w:val="clear" w:color="auto" w:fill="FFFFFF"/>
          <w:lang w:val="ka-GE"/>
        </w:rPr>
        <w:t>.</w:t>
      </w:r>
    </w:p>
    <w:bookmarkStart w:id="2" w:name="_MON_1645027381"/>
    <w:bookmarkEnd w:id="2"/>
    <w:p w14:paraId="35367834" w14:textId="239B494C" w:rsidR="00762943" w:rsidRPr="006126EA" w:rsidRDefault="00920492" w:rsidP="00B57AB9">
      <w:pPr>
        <w:jc w:val="both"/>
        <w:rPr>
          <w:rFonts w:ascii="Sylfaen" w:hAnsi="Sylfaen" w:cs="Sylfaen"/>
          <w:b/>
          <w:lang w:val="ka-GE"/>
        </w:rPr>
      </w:pPr>
      <w:r>
        <w:rPr>
          <w:rFonts w:ascii="Sylfaen" w:hAnsi="Sylfaen" w:cs="Sylfaen"/>
          <w:b/>
          <w:lang w:val="ka-GE"/>
        </w:rPr>
        <w:object w:dxaOrig="1508" w:dyaOrig="983" w14:anchorId="63815033">
          <v:shape id="_x0000_i1032" type="#_x0000_t75" style="width:75.5pt;height:49pt" o:ole="">
            <v:imagedata r:id="rId11" o:title=""/>
          </v:shape>
          <o:OLEObject Type="Embed" ProgID="Excel.Sheet.12" ShapeID="_x0000_i1032" DrawAspect="Icon" ObjectID="_1645268478" r:id="rId12"/>
        </w:object>
      </w:r>
    </w:p>
    <w:p w14:paraId="33F48C51" w14:textId="0BBC177F" w:rsidR="0030730D" w:rsidRPr="0030730D" w:rsidRDefault="0030730D" w:rsidP="00B57AB9">
      <w:pPr>
        <w:jc w:val="both"/>
        <w:rPr>
          <w:rFonts w:ascii="Sylfaen" w:hAnsi="Sylfaen" w:cs="Sylfaen"/>
          <w:b/>
          <w:color w:val="222222"/>
          <w:shd w:val="clear" w:color="auto" w:fill="FFFFFF"/>
          <w:lang w:val="ka-GE"/>
        </w:rPr>
      </w:pPr>
      <w:r w:rsidRPr="0030730D">
        <w:rPr>
          <w:rFonts w:ascii="Sylfaen" w:hAnsi="Sylfaen" w:cs="Sylfaen"/>
          <w:b/>
          <w:color w:val="222222"/>
          <w:shd w:val="clear" w:color="auto" w:fill="FFFFFF"/>
          <w:lang w:val="ka-GE"/>
        </w:rPr>
        <w:t>შენიშვნა:</w:t>
      </w:r>
      <w:r>
        <w:rPr>
          <w:rFonts w:ascii="Sylfaen" w:hAnsi="Sylfaen" w:cs="Sylfaen"/>
          <w:b/>
          <w:color w:val="222222"/>
          <w:shd w:val="clear" w:color="auto" w:fill="FFFFFF"/>
          <w:lang w:val="ka-GE"/>
        </w:rPr>
        <w:t xml:space="preserve"> გამარჯვებულ კომპანიასთან ხელშეკრულება გაფორმდება </w:t>
      </w:r>
      <w:r w:rsidR="00E3778F">
        <w:rPr>
          <w:rFonts w:ascii="Sylfaen" w:hAnsi="Sylfaen" w:cs="Sylfaen"/>
          <w:b/>
          <w:color w:val="222222"/>
          <w:shd w:val="clear" w:color="auto" w:fill="FFFFFF"/>
          <w:lang w:val="ka-GE"/>
        </w:rPr>
        <w:t xml:space="preserve">ბახტრიონის სატუმბო სადგურის </w:t>
      </w:r>
      <w:r>
        <w:rPr>
          <w:rFonts w:ascii="Sylfaen" w:hAnsi="Sylfaen" w:cs="Sylfaen"/>
          <w:b/>
          <w:color w:val="222222"/>
          <w:shd w:val="clear" w:color="auto" w:fill="FFFFFF"/>
          <w:lang w:val="ka-GE"/>
        </w:rPr>
        <w:t xml:space="preserve">რეაბილიტაციის პროექტირებაზე, ხოლო უშუალოდ </w:t>
      </w:r>
      <w:r w:rsidR="00E3778F">
        <w:rPr>
          <w:rFonts w:ascii="Sylfaen" w:hAnsi="Sylfaen" w:cs="Sylfaen"/>
          <w:b/>
          <w:color w:val="222222"/>
          <w:shd w:val="clear" w:color="auto" w:fill="FFFFFF"/>
          <w:lang w:val="ka-GE"/>
        </w:rPr>
        <w:t>სატუმბო სადგურის</w:t>
      </w:r>
      <w:r>
        <w:rPr>
          <w:rFonts w:ascii="Sylfaen" w:hAnsi="Sylfaen" w:cs="Sylfaen"/>
          <w:b/>
          <w:color w:val="222222"/>
          <w:shd w:val="clear" w:color="auto" w:fill="FFFFFF"/>
          <w:lang w:val="ka-GE"/>
        </w:rPr>
        <w:t xml:space="preserve"> სამშენებელო სამუშაოების </w:t>
      </w:r>
      <w:r w:rsidR="00E3778F">
        <w:rPr>
          <w:rFonts w:ascii="Sylfaen" w:hAnsi="Sylfaen" w:cs="Sylfaen"/>
          <w:b/>
          <w:color w:val="222222"/>
          <w:shd w:val="clear" w:color="auto" w:fill="FFFFFF"/>
          <w:lang w:val="ka-GE"/>
        </w:rPr>
        <w:t xml:space="preserve">შესრულების ღირებულება </w:t>
      </w:r>
      <w:r>
        <w:rPr>
          <w:rFonts w:ascii="Sylfaen" w:hAnsi="Sylfaen" w:cs="Sylfaen"/>
          <w:b/>
          <w:color w:val="222222"/>
          <w:shd w:val="clear" w:color="auto" w:fill="FFFFFF"/>
          <w:lang w:val="ka-GE"/>
        </w:rPr>
        <w:t xml:space="preserve">დაზუსტება გამარჯვებული კომპანიის მიერ </w:t>
      </w:r>
      <w:r w:rsidR="00C051B6">
        <w:rPr>
          <w:rFonts w:ascii="Sylfaen" w:hAnsi="Sylfaen" w:cs="Sylfaen"/>
          <w:b/>
          <w:color w:val="222222"/>
          <w:shd w:val="clear" w:color="auto" w:fill="FFFFFF"/>
          <w:lang w:val="ka-GE"/>
        </w:rPr>
        <w:t>საბოლოო პროექტის,</w:t>
      </w:r>
      <w:r>
        <w:rPr>
          <w:rFonts w:ascii="Sylfaen" w:hAnsi="Sylfaen" w:cs="Sylfaen"/>
          <w:b/>
          <w:color w:val="222222"/>
          <w:shd w:val="clear" w:color="auto" w:fill="FFFFFF"/>
          <w:lang w:val="ka-GE"/>
        </w:rPr>
        <w:t xml:space="preserve"> ხარჯთაღრიცხვის</w:t>
      </w:r>
      <w:r w:rsidR="008225F7">
        <w:rPr>
          <w:rFonts w:ascii="Sylfaen" w:hAnsi="Sylfaen" w:cs="Sylfaen"/>
          <w:b/>
          <w:color w:val="222222"/>
          <w:shd w:val="clear" w:color="auto" w:fill="FFFFFF"/>
        </w:rPr>
        <w:t xml:space="preserve"> </w:t>
      </w:r>
      <w:r w:rsidR="008225F7">
        <w:rPr>
          <w:rFonts w:ascii="Sylfaen" w:hAnsi="Sylfaen" w:cs="Sylfaen"/>
          <w:b/>
          <w:color w:val="222222"/>
          <w:shd w:val="clear" w:color="auto" w:fill="FFFFFF"/>
          <w:lang w:val="ka-GE"/>
        </w:rPr>
        <w:t>და</w:t>
      </w:r>
      <w:r w:rsidR="00C051B6">
        <w:rPr>
          <w:rFonts w:ascii="Sylfaen" w:hAnsi="Sylfaen" w:cs="Sylfaen"/>
          <w:b/>
          <w:color w:val="222222"/>
          <w:shd w:val="clear" w:color="auto" w:fill="FFFFFF"/>
        </w:rPr>
        <w:t xml:space="preserve"> </w:t>
      </w:r>
      <w:r w:rsidR="00C051B6">
        <w:rPr>
          <w:rFonts w:ascii="Sylfaen" w:hAnsi="Sylfaen" w:cs="Sylfaen"/>
          <w:b/>
          <w:color w:val="222222"/>
          <w:shd w:val="clear" w:color="auto" w:fill="FFFFFF"/>
          <w:lang w:val="ka-GE"/>
        </w:rPr>
        <w:t xml:space="preserve">მომზადებულ პროექტზე/ხარჯთაღრიცხვაზე აკრედიტირებული ორგანიზაციის მიერ გაცემული </w:t>
      </w:r>
      <w:r w:rsidR="008225F7">
        <w:rPr>
          <w:rFonts w:ascii="Sylfaen" w:hAnsi="Sylfaen" w:cs="Sylfaen"/>
          <w:b/>
          <w:color w:val="222222"/>
          <w:shd w:val="clear" w:color="auto" w:fill="FFFFFF"/>
          <w:lang w:val="ka-GE"/>
        </w:rPr>
        <w:t>დადებითი საექსპერტო დასკვნის</w:t>
      </w:r>
      <w:r>
        <w:rPr>
          <w:rFonts w:ascii="Sylfaen" w:hAnsi="Sylfaen" w:cs="Sylfaen"/>
          <w:b/>
          <w:color w:val="222222"/>
          <w:shd w:val="clear" w:color="auto" w:fill="FFFFFF"/>
          <w:lang w:val="ka-GE"/>
        </w:rPr>
        <w:t xml:space="preserve"> წარმოდგენის შემდგომ.</w:t>
      </w:r>
    </w:p>
    <w:p w14:paraId="5FEF6B21" w14:textId="1173553F" w:rsidR="008C04FA" w:rsidRPr="00272EB2" w:rsidRDefault="00387591" w:rsidP="00B57AB9">
      <w:pPr>
        <w:jc w:val="both"/>
        <w:rPr>
          <w:rFonts w:ascii="Sylfaen" w:hAnsi="Sylfaen"/>
          <w:b/>
          <w:lang w:val="ka-GE"/>
        </w:rPr>
      </w:pPr>
      <w:r w:rsidRPr="00272EB2">
        <w:rPr>
          <w:rFonts w:ascii="Sylfaen" w:hAnsi="Sylfaen" w:cs="Sylfaen"/>
          <w:b/>
          <w:lang w:val="ka-GE"/>
        </w:rPr>
        <w:t>1.4</w:t>
      </w:r>
      <w:r w:rsidR="003657A5" w:rsidRPr="00272EB2">
        <w:rPr>
          <w:rFonts w:ascii="Sylfaen" w:hAnsi="Sylfaen"/>
          <w:b/>
          <w:lang w:val="ka-GE"/>
        </w:rPr>
        <w:t>სამუშაოს შესრულების(ხელშეკრულების) ვადა</w:t>
      </w:r>
    </w:p>
    <w:p w14:paraId="52270492" w14:textId="77777777" w:rsidR="00242DF1" w:rsidRPr="00242DF1" w:rsidRDefault="00242DF1" w:rsidP="00242DF1">
      <w:pPr>
        <w:jc w:val="both"/>
        <w:rPr>
          <w:rFonts w:ascii="Sylfaen" w:hAnsi="Sylfaen"/>
          <w:color w:val="222222"/>
          <w:shd w:val="clear" w:color="auto" w:fill="FFFFFF"/>
          <w:lang w:val="ka-GE"/>
        </w:rPr>
      </w:pPr>
      <w:r w:rsidRPr="00242DF1">
        <w:rPr>
          <w:rFonts w:ascii="Sylfaen" w:hAnsi="Sylfaen"/>
          <w:color w:val="222222"/>
          <w:shd w:val="clear" w:color="auto" w:fill="FFFFFF"/>
          <w:lang w:val="ka-GE"/>
        </w:rPr>
        <w:t>ხელშეკრულების გაფორმებიდან წინასწარ მოლაპარაკებული პერიოდის განმავლობაში.</w:t>
      </w:r>
    </w:p>
    <w:p w14:paraId="5AAAF0F3" w14:textId="46F09F64" w:rsidR="00FD0815" w:rsidRDefault="00056A31" w:rsidP="00B57AB9">
      <w:pPr>
        <w:jc w:val="both"/>
        <w:rPr>
          <w:rFonts w:ascii="Sylfaen" w:hAnsi="Sylfaen"/>
          <w:b/>
          <w:lang w:val="ka-GE"/>
        </w:rPr>
      </w:pPr>
      <w:r w:rsidRPr="00242DF1">
        <w:rPr>
          <w:rFonts w:ascii="Sylfaen" w:hAnsi="Sylfaen" w:cs="Sylfaen"/>
          <w:b/>
        </w:rPr>
        <w:t>1</w:t>
      </w:r>
      <w:r w:rsidR="00CF7A57" w:rsidRPr="00242DF1">
        <w:rPr>
          <w:rFonts w:ascii="Sylfaen" w:hAnsi="Sylfaen" w:cs="Sylfaen"/>
          <w:b/>
        </w:rPr>
        <w:t>.5</w:t>
      </w:r>
      <w:r w:rsidR="00931A9A" w:rsidRPr="00242DF1">
        <w:rPr>
          <w:rFonts w:ascii="Sylfaen" w:hAnsi="Sylfaen" w:cs="Sylfaen"/>
          <w:b/>
          <w:lang w:val="ka-GE"/>
        </w:rPr>
        <w:t xml:space="preserve"> </w:t>
      </w:r>
      <w:r w:rsidRPr="00242DF1">
        <w:rPr>
          <w:rFonts w:ascii="Sylfaen" w:hAnsi="Sylfaen"/>
          <w:b/>
          <w:lang w:val="ka-GE"/>
        </w:rPr>
        <w:t>სამუშაოს</w:t>
      </w:r>
      <w:r w:rsidRPr="007B0071">
        <w:rPr>
          <w:rFonts w:ascii="Sylfaen" w:hAnsi="Sylfaen"/>
          <w:b/>
          <w:lang w:val="ka-GE"/>
        </w:rPr>
        <w:t xml:space="preserve"> შესრულების ფორმა და ადგილი</w:t>
      </w:r>
    </w:p>
    <w:p w14:paraId="181F9BDE" w14:textId="0CC2636A" w:rsidR="00242DF1" w:rsidRPr="00242DF1" w:rsidRDefault="00242DF1" w:rsidP="00B57AB9">
      <w:pPr>
        <w:jc w:val="both"/>
        <w:rPr>
          <w:rFonts w:ascii="Sylfaen" w:hAnsi="Sylfaen"/>
          <w:color w:val="222222"/>
          <w:shd w:val="clear" w:color="auto" w:fill="FFFFFF"/>
          <w:lang w:val="ka-GE"/>
        </w:rPr>
      </w:pPr>
      <w:r w:rsidRPr="00242DF1">
        <w:rPr>
          <w:rFonts w:ascii="Sylfaen" w:hAnsi="Sylfaen"/>
          <w:color w:val="222222"/>
          <w:shd w:val="clear" w:color="auto" w:fill="FFFFFF"/>
          <w:lang w:val="ka-GE"/>
        </w:rPr>
        <w:t>ქ.თბილისი, ბახტრიონის ქუჩაზე მდებარე სატუმბო სადგური.</w:t>
      </w:r>
    </w:p>
    <w:p w14:paraId="267D4EF8" w14:textId="22FA0F2E" w:rsidR="00CF7A57" w:rsidRPr="007B0071" w:rsidRDefault="00484DB6" w:rsidP="00B57AB9">
      <w:pPr>
        <w:spacing w:after="0" w:line="240" w:lineRule="auto"/>
        <w:jc w:val="both"/>
        <w:rPr>
          <w:rFonts w:ascii="Sylfaen" w:hAnsi="Sylfaen"/>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2DE8AD07" w:rsidR="000353F8" w:rsidRDefault="00875254" w:rsidP="00B57AB9">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242DF1">
        <w:rPr>
          <w:rFonts w:ascii="Sylfaen" w:hAnsi="Sylfaen"/>
          <w:lang w:val="ka-GE"/>
        </w:rPr>
        <w:t xml:space="preserve">სამუშაოების შესრულების </w:t>
      </w:r>
      <w:r w:rsidR="009D5E96" w:rsidRPr="007B0071">
        <w:rPr>
          <w:rFonts w:ascii="Sylfaen" w:hAnsi="Sylfaen"/>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B2F081B" w14:textId="1735E13B" w:rsidR="007A16C6" w:rsidRDefault="007A16C6" w:rsidP="00B57AB9">
      <w:pPr>
        <w:spacing w:after="0" w:line="240" w:lineRule="auto"/>
        <w:jc w:val="both"/>
        <w:rPr>
          <w:rFonts w:ascii="Sylfaen" w:hAnsi="Sylfaen"/>
          <w:lang w:val="ka-GE"/>
        </w:rPr>
      </w:pPr>
    </w:p>
    <w:p w14:paraId="534DD275" w14:textId="77777777" w:rsidR="00EA22AE" w:rsidRPr="00366AEC" w:rsidRDefault="00EA22AE" w:rsidP="00B57AB9">
      <w:pPr>
        <w:spacing w:after="0" w:line="240" w:lineRule="auto"/>
        <w:jc w:val="both"/>
        <w:rPr>
          <w:rFonts w:ascii="Sylfaen" w:hAnsi="Sylfaen"/>
          <w:lang w:val="ka-GE"/>
        </w:rPr>
      </w:pPr>
    </w:p>
    <w:p w14:paraId="1EE31693" w14:textId="1A6D306E" w:rsidR="00000015" w:rsidRPr="007B0071" w:rsidRDefault="00095FD1" w:rsidP="00B57AB9">
      <w:pPr>
        <w:spacing w:after="0" w:line="240" w:lineRule="auto"/>
        <w:jc w:val="both"/>
        <w:rPr>
          <w:rFonts w:ascii="Sylfaen" w:hAnsi="Sylfaen"/>
          <w:b/>
          <w:lang w:val="ka-GE"/>
        </w:rPr>
      </w:pPr>
      <w:r>
        <w:rPr>
          <w:rFonts w:ascii="Sylfaen" w:hAnsi="Sylfaen" w:cs="Sylfaen"/>
          <w:b/>
          <w:lang w:val="ka-GE"/>
        </w:rPr>
        <w:t xml:space="preserve">1.7 </w:t>
      </w:r>
      <w:r w:rsidR="00000015" w:rsidRPr="007B0071">
        <w:rPr>
          <w:rFonts w:ascii="Sylfaen" w:hAnsi="Sylfaen"/>
          <w:b/>
          <w:lang w:val="ka-GE"/>
        </w:rPr>
        <w:t>ანგარიშსწორების პირობები</w:t>
      </w:r>
    </w:p>
    <w:p w14:paraId="57484F93" w14:textId="4B70204E" w:rsidR="00000015" w:rsidRDefault="00000015" w:rsidP="00B57AB9">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კონკრეტულ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C051B6">
        <w:rPr>
          <w:rFonts w:ascii="Sylfaen" w:hAnsi="Sylfaen"/>
          <w:lang w:val="ka-GE"/>
        </w:rPr>
        <w:t>.</w:t>
      </w:r>
    </w:p>
    <w:p w14:paraId="27943916" w14:textId="43892E8F" w:rsidR="00C051B6" w:rsidRDefault="00C051B6" w:rsidP="00B57AB9">
      <w:pPr>
        <w:spacing w:after="0" w:line="240" w:lineRule="auto"/>
        <w:jc w:val="both"/>
        <w:rPr>
          <w:rFonts w:ascii="Sylfaen" w:hAnsi="Sylfaen"/>
          <w:lang w:val="ka-GE"/>
        </w:rPr>
      </w:pPr>
    </w:p>
    <w:p w14:paraId="00CC03B6" w14:textId="0BE3A704" w:rsidR="00C051B6" w:rsidRPr="00DA4378" w:rsidRDefault="00C051B6" w:rsidP="00B57AB9">
      <w:pPr>
        <w:spacing w:after="0" w:line="240" w:lineRule="auto"/>
        <w:jc w:val="both"/>
        <w:rPr>
          <w:rFonts w:ascii="Sylfaen" w:hAnsi="Sylfaen"/>
          <w:lang w:val="ka-GE"/>
        </w:rPr>
      </w:pPr>
      <w:r>
        <w:rPr>
          <w:rFonts w:ascii="Sylfaen" w:hAnsi="Sylfaen"/>
          <w:lang w:val="ka-GE"/>
        </w:rPr>
        <w:t>დასაშვებია</w:t>
      </w:r>
      <w:r w:rsidR="00DA4378">
        <w:rPr>
          <w:rFonts w:ascii="Sylfaen" w:hAnsi="Sylfaen"/>
          <w:lang w:val="ka-GE"/>
        </w:rPr>
        <w:t xml:space="preserve"> ჯამური</w:t>
      </w:r>
      <w:r>
        <w:rPr>
          <w:rFonts w:ascii="Sylfaen" w:hAnsi="Sylfaen"/>
          <w:lang w:val="ka-GE"/>
        </w:rPr>
        <w:t xml:space="preserve"> </w:t>
      </w:r>
      <w:r w:rsidR="00DA4378">
        <w:rPr>
          <w:rFonts w:ascii="Sylfaen" w:hAnsi="Sylfaen"/>
          <w:lang w:val="ka-GE"/>
        </w:rPr>
        <w:t>საკონტრაქტო ღირებულის 30%-ის წინასწარი ადგარიშსწორება საავანსო გარანტიის საფუძველზე.</w:t>
      </w:r>
    </w:p>
    <w:p w14:paraId="2F0FD003" w14:textId="0EFD2759" w:rsidR="00F827AD" w:rsidRPr="007B0071" w:rsidRDefault="00F827AD" w:rsidP="00B57AB9">
      <w:pPr>
        <w:spacing w:after="0" w:line="240" w:lineRule="auto"/>
        <w:jc w:val="both"/>
        <w:rPr>
          <w:rFonts w:ascii="Sylfaen" w:hAnsi="Sylfaen" w:cs="Sylfaen"/>
          <w:b/>
          <w:u w:val="single"/>
          <w:lang w:val="ka-GE"/>
        </w:rPr>
      </w:pPr>
    </w:p>
    <w:p w14:paraId="20DB2DC4" w14:textId="51F81B18" w:rsidR="00E14853" w:rsidRPr="007B0071" w:rsidRDefault="00095FD1" w:rsidP="00B57AB9">
      <w:pPr>
        <w:spacing w:after="0" w:line="240" w:lineRule="auto"/>
        <w:jc w:val="both"/>
        <w:rPr>
          <w:rFonts w:ascii="Sylfaen" w:hAnsi="Sylfaen"/>
          <w:b/>
          <w:lang w:val="ka-GE"/>
        </w:rPr>
      </w:pPr>
      <w:r>
        <w:rPr>
          <w:rFonts w:ascii="Sylfaen" w:hAnsi="Sylfaen" w:cs="Sylfaen"/>
          <w:b/>
          <w:lang w:val="ka-GE"/>
        </w:rPr>
        <w:t xml:space="preserve">1.8 </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0F113B11" w14:textId="47463645" w:rsidR="00B92B05" w:rsidRPr="007B0071" w:rsidRDefault="00431B3C" w:rsidP="00B57AB9">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484DB6">
        <w:rPr>
          <w:rFonts w:ascii="Sylfaen" w:hAnsi="Sylfaen"/>
          <w:sz w:val="22"/>
          <w:szCs w:val="22"/>
          <w:lang w:val="ka-GE"/>
        </w:rPr>
        <w:t>„უზრუნველყოფის</w:t>
      </w:r>
      <w:r w:rsidR="00BE4678" w:rsidRPr="007B0071">
        <w:rPr>
          <w:rFonts w:ascii="Sylfaen" w:hAnsi="Sylfaen"/>
          <w:sz w:val="22"/>
          <w:szCs w:val="22"/>
          <w:lang w:val="ka-GE"/>
        </w:rPr>
        <w:t xml:space="preserve"> გარანტია</w:t>
      </w:r>
      <w:r w:rsidR="00EB217E" w:rsidRPr="007B0071">
        <w:rPr>
          <w:rFonts w:ascii="Sylfaen" w:hAnsi="Sylfaen"/>
          <w:sz w:val="22"/>
          <w:szCs w:val="22"/>
          <w:lang w:val="ka-GE"/>
        </w:rPr>
        <w:t>“</w:t>
      </w:r>
      <w:r w:rsidR="00BE4678" w:rsidRPr="007B0071">
        <w:rPr>
          <w:rFonts w:ascii="Sylfaen" w:hAnsi="Sylfaen"/>
          <w:sz w:val="22"/>
          <w:szCs w:val="22"/>
          <w:lang w:val="ka-GE"/>
        </w:rPr>
        <w:t xml:space="preserve"> </w:t>
      </w:r>
      <w:r w:rsidR="00484DB6">
        <w:rPr>
          <w:rFonts w:ascii="Sylfaen" w:hAnsi="Sylfaen"/>
          <w:sz w:val="22"/>
          <w:szCs w:val="22"/>
          <w:lang w:val="ka-GE"/>
        </w:rPr>
        <w:t xml:space="preserve">ხელშეკრულების ჯამური ღირებულების 5%-ის </w:t>
      </w:r>
      <w:r w:rsidR="00EB217E" w:rsidRPr="007B0071">
        <w:rPr>
          <w:rFonts w:ascii="Sylfaen" w:hAnsi="Sylfaen"/>
          <w:sz w:val="22"/>
          <w:szCs w:val="22"/>
          <w:lang w:val="ka-GE"/>
        </w:rPr>
        <w:t>ოდენობით</w:t>
      </w:r>
      <w:r w:rsidR="00BE4678" w:rsidRPr="007B0071">
        <w:rPr>
          <w:rFonts w:ascii="Sylfaen" w:hAnsi="Sylfaen"/>
          <w:sz w:val="22"/>
          <w:szCs w:val="22"/>
          <w:lang w:val="ka-GE"/>
        </w:rPr>
        <w:t xml:space="preserve">. ხელშეკრულების შესრულების გარანტია </w:t>
      </w:r>
      <w:r w:rsidR="00AA511B" w:rsidRPr="007B0071">
        <w:rPr>
          <w:rFonts w:ascii="Sylfaen" w:hAnsi="Sylfaen"/>
          <w:sz w:val="22"/>
          <w:szCs w:val="22"/>
          <w:lang w:val="ka-GE"/>
        </w:rPr>
        <w:t xml:space="preserve">გაცემული უნდა იყოს საქართველოში ლიცენზირებული ბანკის ან „ეკონომიკური თანამშრომლობისა და </w:t>
      </w:r>
      <w:r w:rsidR="00AA511B" w:rsidRPr="007B0071">
        <w:rPr>
          <w:rFonts w:ascii="Sylfaen" w:hAnsi="Sylfaen"/>
          <w:sz w:val="22"/>
          <w:szCs w:val="22"/>
          <w:lang w:val="ka-GE"/>
        </w:rPr>
        <w:lastRenderedPageBreak/>
        <w:t>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7FA35487" w:rsidR="008D04C5" w:rsidRPr="007B0071" w:rsidRDefault="009138DB" w:rsidP="00B57AB9">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262AAED" w:rsidR="00B806AE" w:rsidRPr="007B0071" w:rsidRDefault="00387591" w:rsidP="00B57AB9">
      <w:pPr>
        <w:spacing w:before="240" w:after="160"/>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3E257033" w14:textId="0D98E8C8" w:rsidR="00AE7884" w:rsidRDefault="00B806AE" w:rsidP="00B57AB9">
      <w:pPr>
        <w:jc w:val="both"/>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3E26F5EE" w14:textId="307E12CF" w:rsidR="009138DB" w:rsidRDefault="009138DB" w:rsidP="00B57AB9">
      <w:pPr>
        <w:jc w:val="both"/>
        <w:rPr>
          <w:rFonts w:ascii="Sylfaen" w:hAnsi="Sylfaen"/>
          <w:lang w:val="ka-GE"/>
        </w:rPr>
      </w:pPr>
      <w:r>
        <w:rPr>
          <w:rFonts w:ascii="Sylfaen" w:hAnsi="Sylfaen"/>
          <w:lang w:val="ka-GE"/>
        </w:rPr>
        <w:t>3.ინფორმაცია სასურველი ანგარიშსწორების პირობის შესახებ</w:t>
      </w:r>
      <w:r w:rsidR="00BD4E51">
        <w:rPr>
          <w:rFonts w:ascii="Sylfaen" w:hAnsi="Sylfaen"/>
          <w:lang w:val="ka-GE"/>
        </w:rPr>
        <w:t xml:space="preserve"> (პუნქტი 1.7)</w:t>
      </w:r>
      <w:r>
        <w:rPr>
          <w:rFonts w:ascii="Sylfaen" w:hAnsi="Sylfaen"/>
          <w:lang w:val="ka-GE"/>
        </w:rPr>
        <w:t>;</w:t>
      </w:r>
    </w:p>
    <w:p w14:paraId="2CBCDBAD" w14:textId="59740AE4" w:rsidR="00CE69DB" w:rsidRPr="007B0071" w:rsidRDefault="009138DB" w:rsidP="00B57AB9">
      <w:pPr>
        <w:jc w:val="both"/>
        <w:rPr>
          <w:rFonts w:ascii="Sylfaen" w:hAnsi="Sylfaen"/>
          <w:lang w:val="ka-GE"/>
        </w:rPr>
      </w:pPr>
      <w:r>
        <w:rPr>
          <w:rFonts w:ascii="Sylfaen" w:hAnsi="Sylfaen"/>
          <w:lang w:val="ka-GE"/>
        </w:rPr>
        <w:t>4</w:t>
      </w:r>
      <w:r w:rsidR="009F003A" w:rsidRPr="007B0071">
        <w:rPr>
          <w:rFonts w:ascii="Sylfaen" w:hAnsi="Sylfaen"/>
          <w:lang w:val="ka-GE"/>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3D6DBF3" w14:textId="26F5D803" w:rsidR="00896274" w:rsidRPr="007B0071" w:rsidRDefault="001B7903" w:rsidP="00B57AB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7B0071" w:rsidRDefault="00431B3C" w:rsidP="00B57AB9">
      <w:pPr>
        <w:spacing w:after="0" w:line="240" w:lineRule="auto"/>
        <w:jc w:val="both"/>
        <w:rPr>
          <w:rFonts w:ascii="Sylfaen" w:hAnsi="Sylfaen"/>
          <w:lang w:val="ka-GE"/>
        </w:rPr>
      </w:pPr>
    </w:p>
    <w:p w14:paraId="18192F9A" w14:textId="5DDD14F6" w:rsidR="003011B3" w:rsidRPr="007B0071" w:rsidRDefault="00BD4E51" w:rsidP="00B57AB9">
      <w:pPr>
        <w:spacing w:after="0" w:line="360" w:lineRule="auto"/>
        <w:jc w:val="both"/>
        <w:rPr>
          <w:rFonts w:ascii="Sylfaen" w:hAnsi="Sylfaen"/>
          <w:b/>
          <w:lang w:val="ka-GE"/>
        </w:rPr>
      </w:pPr>
      <w:r>
        <w:rPr>
          <w:rFonts w:ascii="Sylfaen" w:hAnsi="Sylfaen" w:cs="Sylfaen"/>
          <w:b/>
          <w:lang w:val="ka-GE"/>
        </w:rPr>
        <w:t>1.10</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77745B0B" w14:textId="77777777" w:rsidR="001C44CE" w:rsidRDefault="001C44CE" w:rsidP="00B57AB9">
      <w:pPr>
        <w:spacing w:after="0" w:line="36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w:t>
      </w:r>
      <w:r w:rsidRPr="00BD74F8">
        <w:rPr>
          <w:rFonts w:ascii="Sylfaen" w:eastAsiaTheme="minorHAnsi" w:hAnsi="Sylfaen"/>
          <w:sz w:val="20"/>
          <w:szCs w:val="20"/>
          <w:lang w:val="ka-GE"/>
        </w:rPr>
        <w:t xml:space="preserve"> </w:t>
      </w:r>
    </w:p>
    <w:p w14:paraId="45D5A6F6" w14:textId="77777777" w:rsidR="001C44CE" w:rsidRPr="00BD74F8" w:rsidRDefault="001C44CE" w:rsidP="00B57AB9">
      <w:pPr>
        <w:spacing w:after="0" w:line="36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შპს „ჯორჯიან უოთერ ენდ ფაუერი“ უფლებას იტოვებს გააფორმოს ხელშეკრულება ერთ ან რამოდენიმე კომპანიასთან.</w:t>
      </w:r>
    </w:p>
    <w:p w14:paraId="7AB22D0C" w14:textId="40CB7439" w:rsidR="00B049C5" w:rsidRPr="007B0071" w:rsidRDefault="00B049C5" w:rsidP="00B57AB9">
      <w:pPr>
        <w:spacing w:after="0" w:line="360" w:lineRule="auto"/>
        <w:jc w:val="both"/>
        <w:rPr>
          <w:rFonts w:ascii="Sylfaen" w:hAnsi="Sylfaen"/>
          <w:lang w:val="ka-GE"/>
        </w:rPr>
      </w:pPr>
    </w:p>
    <w:p w14:paraId="7089A739" w14:textId="3CFDEF9E" w:rsidR="00CC4789" w:rsidRPr="008330ED" w:rsidRDefault="008330ED" w:rsidP="00E4722A">
      <w:pPr>
        <w:pStyle w:val="ListParagraph"/>
        <w:numPr>
          <w:ilvl w:val="1"/>
          <w:numId w:val="35"/>
        </w:numPr>
        <w:spacing w:after="0" w:line="360" w:lineRule="auto"/>
        <w:jc w:val="both"/>
        <w:rPr>
          <w:rFonts w:ascii="Sylfaen" w:hAnsi="Sylfaen"/>
          <w:b/>
          <w:lang w:val="ka-GE"/>
        </w:rPr>
      </w:pPr>
      <w:r>
        <w:rPr>
          <w:rFonts w:ascii="Sylfaen" w:hAnsi="Sylfaen" w:cs="Sylfaen"/>
          <w:b/>
        </w:rPr>
        <w:t xml:space="preserve"> </w:t>
      </w:r>
      <w:r w:rsidR="00F94EA4" w:rsidRPr="008330ED">
        <w:rPr>
          <w:rFonts w:ascii="Sylfaen" w:hAnsi="Sylfaen" w:cs="Sylfaen"/>
          <w:b/>
          <w:lang w:val="ka-GE"/>
        </w:rPr>
        <w:t>ს</w:t>
      </w:r>
      <w:r w:rsidR="00CC4789" w:rsidRPr="008330ED">
        <w:rPr>
          <w:rFonts w:ascii="Sylfaen" w:hAnsi="Sylfaen"/>
          <w:b/>
          <w:lang w:val="ka-GE"/>
        </w:rPr>
        <w:t>ხვა მოთხოვნა</w:t>
      </w:r>
    </w:p>
    <w:p w14:paraId="77E55003" w14:textId="057B0C12" w:rsidR="00CC4789" w:rsidRPr="007B0071" w:rsidRDefault="00CC4789" w:rsidP="00B57AB9">
      <w:pPr>
        <w:pStyle w:val="ListParagraph"/>
        <w:spacing w:after="0" w:line="360" w:lineRule="auto"/>
        <w:ind w:left="360"/>
        <w:jc w:val="both"/>
        <w:rPr>
          <w:rFonts w:ascii="AcadNusx" w:hAnsi="AcadNusx"/>
          <w:lang w:val="ka-GE"/>
        </w:rPr>
      </w:pPr>
      <w:r w:rsidRPr="007B0071">
        <w:rPr>
          <w:rFonts w:ascii="Sylfaen" w:hAnsi="Sylfaen"/>
          <w:lang w:val="ka-GE"/>
        </w:rPr>
        <w:t>1</w:t>
      </w:r>
      <w:r w:rsidR="00E4722A">
        <w:rPr>
          <w:rFonts w:ascii="Sylfaen" w:hAnsi="Sylfaen"/>
          <w:lang w:val="ka-GE"/>
        </w:rPr>
        <w:t>.11</w:t>
      </w:r>
      <w:r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B57AB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B57AB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B57AB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E986605" w14:textId="5E4C0656" w:rsidR="00CC4789" w:rsidRPr="00E4722A" w:rsidRDefault="00CC4789" w:rsidP="00E4722A">
      <w:pPr>
        <w:pStyle w:val="ListParagraph"/>
        <w:numPr>
          <w:ilvl w:val="2"/>
          <w:numId w:val="36"/>
        </w:numPr>
        <w:spacing w:after="0" w:line="360" w:lineRule="auto"/>
        <w:jc w:val="both"/>
        <w:rPr>
          <w:b/>
          <w:lang w:val="ka-GE"/>
        </w:rPr>
      </w:pPr>
      <w:r w:rsidRPr="00E4722A">
        <w:rPr>
          <w:rFonts w:ascii="Sylfaen" w:hAnsi="Sylfaen" w:cs="Sylfaen"/>
          <w:lang w:val="ka-GE"/>
        </w:rPr>
        <w:t>ფასების</w:t>
      </w:r>
      <w:r w:rsidRPr="00E4722A">
        <w:rPr>
          <w:rFonts w:ascii="Sylfaen" w:hAnsi="Sylfaen"/>
          <w:lang w:val="ka-GE"/>
        </w:rPr>
        <w:t xml:space="preserve"> </w:t>
      </w:r>
      <w:r w:rsidRPr="00E4722A">
        <w:rPr>
          <w:rFonts w:ascii="Sylfaen" w:hAnsi="Sylfaen" w:cs="Sylfaen"/>
          <w:lang w:val="ka-GE"/>
        </w:rPr>
        <w:t>წარმოდგენა</w:t>
      </w:r>
      <w:r w:rsidRPr="00E4722A">
        <w:rPr>
          <w:rFonts w:ascii="Sylfaen" w:hAnsi="Sylfaen"/>
          <w:lang w:val="ka-GE"/>
        </w:rPr>
        <w:t xml:space="preserve"> </w:t>
      </w:r>
      <w:r w:rsidRPr="00E4722A">
        <w:rPr>
          <w:rFonts w:ascii="Sylfaen" w:hAnsi="Sylfaen" w:cs="Sylfaen"/>
          <w:lang w:val="ka-GE"/>
        </w:rPr>
        <w:t>დასაშვებია</w:t>
      </w:r>
      <w:r w:rsidRPr="00E4722A">
        <w:rPr>
          <w:rFonts w:ascii="Sylfaen" w:hAnsi="Sylfaen"/>
          <w:lang w:val="ka-GE"/>
        </w:rPr>
        <w:t xml:space="preserve"> </w:t>
      </w:r>
      <w:r w:rsidRPr="00E4722A">
        <w:rPr>
          <w:rFonts w:ascii="Sylfaen" w:hAnsi="Sylfaen" w:cs="Sylfaen"/>
          <w:lang w:val="ka-GE"/>
        </w:rPr>
        <w:t>მხოლოდ</w:t>
      </w:r>
      <w:r w:rsidRPr="00E4722A">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E4722A">
        <w:rPr>
          <w:rFonts w:ascii="Sylfaen" w:hAnsi="Sylfaen"/>
          <w:lang w:val="ka-GE"/>
        </w:rPr>
        <w:t>ით გათვალისწინებულ გადასახადებს.</w:t>
      </w:r>
    </w:p>
    <w:p w14:paraId="153F4E0E" w14:textId="77CB5C68" w:rsidR="00CE7176" w:rsidRPr="00E4722A" w:rsidRDefault="00CC4789" w:rsidP="00E4722A">
      <w:pPr>
        <w:pStyle w:val="ListParagraph"/>
        <w:numPr>
          <w:ilvl w:val="2"/>
          <w:numId w:val="36"/>
        </w:numPr>
        <w:jc w:val="both"/>
        <w:rPr>
          <w:lang w:val="es-MX"/>
        </w:rPr>
      </w:pPr>
      <w:r w:rsidRPr="00E4722A">
        <w:rPr>
          <w:rFonts w:ascii="Sylfaen" w:hAnsi="Sylfaen" w:cs="Sylfaen"/>
          <w:lang w:val="ka-GE"/>
        </w:rPr>
        <w:lastRenderedPageBreak/>
        <w:t>პრეტენდენტის</w:t>
      </w:r>
      <w:r w:rsidRPr="00E4722A">
        <w:rPr>
          <w:rFonts w:ascii="Sylfaen" w:hAnsi="Sylfaen"/>
          <w:lang w:val="ka-GE"/>
        </w:rPr>
        <w:t xml:space="preserve"> </w:t>
      </w:r>
      <w:r w:rsidRPr="00E4722A">
        <w:rPr>
          <w:rFonts w:ascii="Sylfaen" w:hAnsi="Sylfaen" w:cs="Sylfaen"/>
          <w:lang w:val="ka-GE"/>
        </w:rPr>
        <w:t>მიერ</w:t>
      </w:r>
      <w:r w:rsidRPr="00E4722A">
        <w:rPr>
          <w:rFonts w:ascii="Sylfaen" w:hAnsi="Sylfaen"/>
          <w:lang w:val="ka-GE"/>
        </w:rPr>
        <w:t xml:space="preserve"> </w:t>
      </w:r>
      <w:r w:rsidRPr="00E4722A">
        <w:rPr>
          <w:rFonts w:ascii="Sylfaen" w:hAnsi="Sylfaen" w:cs="Sylfaen"/>
          <w:lang w:val="ka-GE"/>
        </w:rPr>
        <w:t>წარმოდგენილი</w:t>
      </w:r>
      <w:r w:rsidRPr="00E4722A">
        <w:rPr>
          <w:rFonts w:ascii="Sylfaen" w:hAnsi="Sylfaen"/>
          <w:lang w:val="ka-GE"/>
        </w:rPr>
        <w:t xml:space="preserve"> </w:t>
      </w:r>
      <w:r w:rsidRPr="00E4722A">
        <w:rPr>
          <w:rFonts w:ascii="Sylfaen" w:hAnsi="Sylfaen" w:cs="Sylfaen"/>
          <w:lang w:val="ka-GE"/>
        </w:rPr>
        <w:t>წინადადება</w:t>
      </w:r>
      <w:r w:rsidRPr="00E4722A">
        <w:rPr>
          <w:rFonts w:ascii="Sylfaen" w:hAnsi="Sylfaen"/>
          <w:lang w:val="ka-GE"/>
        </w:rPr>
        <w:t xml:space="preserve"> </w:t>
      </w:r>
      <w:r w:rsidRPr="00E4722A">
        <w:rPr>
          <w:rFonts w:ascii="Sylfaen" w:hAnsi="Sylfaen" w:cs="Sylfaen"/>
          <w:lang w:val="ka-GE"/>
        </w:rPr>
        <w:t>ძალაში</w:t>
      </w:r>
      <w:r w:rsidRPr="00E4722A">
        <w:rPr>
          <w:rFonts w:ascii="Sylfaen" w:hAnsi="Sylfaen"/>
          <w:lang w:val="ka-GE"/>
        </w:rPr>
        <w:t xml:space="preserve"> </w:t>
      </w:r>
      <w:r w:rsidRPr="00E4722A">
        <w:rPr>
          <w:rFonts w:ascii="Sylfaen" w:hAnsi="Sylfaen" w:cs="Sylfaen"/>
          <w:lang w:val="ka-GE"/>
        </w:rPr>
        <w:t>უნდა</w:t>
      </w:r>
      <w:r w:rsidRPr="00E4722A">
        <w:rPr>
          <w:rFonts w:ascii="Sylfaen" w:hAnsi="Sylfaen"/>
          <w:lang w:val="ka-GE"/>
        </w:rPr>
        <w:t xml:space="preserve"> </w:t>
      </w:r>
      <w:r w:rsidRPr="00E4722A">
        <w:rPr>
          <w:rFonts w:ascii="Sylfaen" w:hAnsi="Sylfaen" w:cs="Sylfaen"/>
          <w:lang w:val="ka-GE"/>
        </w:rPr>
        <w:t>იყოს</w:t>
      </w:r>
      <w:r w:rsidRPr="00E4722A">
        <w:rPr>
          <w:rFonts w:ascii="Sylfaen" w:hAnsi="Sylfaen"/>
          <w:lang w:val="ka-GE"/>
        </w:rPr>
        <w:t xml:space="preserve"> </w:t>
      </w:r>
      <w:r w:rsidRPr="00E4722A">
        <w:rPr>
          <w:rFonts w:ascii="Sylfaen" w:hAnsi="Sylfaen" w:cs="Sylfaen"/>
          <w:lang w:val="ka-GE"/>
        </w:rPr>
        <w:t>წინადადებების</w:t>
      </w:r>
      <w:r w:rsidRPr="00E4722A">
        <w:rPr>
          <w:rFonts w:ascii="Sylfaen" w:hAnsi="Sylfaen"/>
          <w:lang w:val="ka-GE"/>
        </w:rPr>
        <w:t xml:space="preserve"> </w:t>
      </w:r>
      <w:r w:rsidRPr="00E4722A">
        <w:rPr>
          <w:rFonts w:ascii="Sylfaen" w:hAnsi="Sylfaen" w:cs="Sylfaen"/>
          <w:lang w:val="ka-GE"/>
        </w:rPr>
        <w:t>მიღების</w:t>
      </w:r>
      <w:r w:rsidRPr="00E4722A">
        <w:rPr>
          <w:rFonts w:ascii="Sylfaen" w:hAnsi="Sylfaen"/>
          <w:lang w:val="ka-GE"/>
        </w:rPr>
        <w:t xml:space="preserve"> </w:t>
      </w:r>
      <w:r w:rsidRPr="00E4722A">
        <w:rPr>
          <w:rFonts w:ascii="Sylfaen" w:hAnsi="Sylfaen" w:cs="Sylfaen"/>
          <w:lang w:val="ka-GE"/>
        </w:rPr>
        <w:t>თარიღიდან</w:t>
      </w:r>
      <w:r w:rsidRPr="00E4722A">
        <w:rPr>
          <w:rFonts w:ascii="Sylfaen" w:hAnsi="Sylfaen"/>
          <w:lang w:val="ka-GE"/>
        </w:rPr>
        <w:t xml:space="preserve"> 30 </w:t>
      </w:r>
      <w:r w:rsidRPr="00E4722A">
        <w:rPr>
          <w:rFonts w:ascii="AcadNusx" w:hAnsi="AcadNusx"/>
          <w:lang w:val="ka-GE"/>
        </w:rPr>
        <w:t>(</w:t>
      </w:r>
      <w:r w:rsidRPr="00E4722A">
        <w:rPr>
          <w:rFonts w:ascii="Sylfaen" w:hAnsi="Sylfaen"/>
          <w:lang w:val="ka-GE"/>
        </w:rPr>
        <w:t>ოცდაათი</w:t>
      </w:r>
      <w:r w:rsidRPr="00E4722A">
        <w:rPr>
          <w:rFonts w:ascii="AcadNusx" w:hAnsi="AcadNusx"/>
          <w:lang w:val="ka-GE"/>
        </w:rPr>
        <w:t>)</w:t>
      </w:r>
      <w:r w:rsidRPr="00E4722A">
        <w:rPr>
          <w:rFonts w:ascii="Sylfaen" w:hAnsi="Sylfaen"/>
          <w:lang w:val="ka-GE"/>
        </w:rPr>
        <w:t xml:space="preserve"> კალენდარული დღის განმავლობაში.</w:t>
      </w:r>
    </w:p>
    <w:p w14:paraId="6672838F" w14:textId="7A511FD6" w:rsidR="00CC4789" w:rsidRPr="007B0071" w:rsidRDefault="00CC4789" w:rsidP="00E4722A">
      <w:pPr>
        <w:pStyle w:val="ListParagraph"/>
        <w:numPr>
          <w:ilvl w:val="2"/>
          <w:numId w:val="36"/>
        </w:numPr>
        <w:jc w:val="both"/>
        <w:rPr>
          <w:lang w:val="es-MX"/>
        </w:rPr>
      </w:pPr>
      <w:r w:rsidRPr="007B0071">
        <w:rPr>
          <w:rFonts w:ascii="Sylfaen" w:hAnsi="Sylfaen"/>
          <w:lang w:val="ka-GE"/>
        </w:rPr>
        <w:t>შპს „ჯორჯიან უოთერ ენდ ფაუერი“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77777777" w:rsidR="00CC4789" w:rsidRPr="007B0071" w:rsidRDefault="00CC4789" w:rsidP="00B57AB9">
      <w:pPr>
        <w:pStyle w:val="ListParagraph"/>
        <w:spacing w:after="0" w:line="360" w:lineRule="auto"/>
        <w:ind w:left="0" w:firstLine="426"/>
        <w:jc w:val="both"/>
        <w:rPr>
          <w:rFonts w:ascii="Sylfaen" w:hAnsi="Sylfaen"/>
          <w:lang w:val="ka-GE"/>
        </w:rPr>
      </w:pPr>
      <w:r w:rsidRPr="007B0071">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7B0071" w:rsidRDefault="00CC4789" w:rsidP="00B57AB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7B0071" w:rsidRDefault="00CC4789" w:rsidP="00B57AB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B57AB9">
      <w:pPr>
        <w:spacing w:after="0" w:line="360" w:lineRule="auto"/>
        <w:ind w:firstLine="426"/>
        <w:jc w:val="both"/>
        <w:rPr>
          <w:rFonts w:ascii="Sylfaen" w:hAnsi="Sylfaen"/>
          <w:b/>
          <w:i/>
          <w:lang w:val="ka-GE"/>
        </w:rPr>
      </w:pPr>
    </w:p>
    <w:p w14:paraId="3E87E18D" w14:textId="77777777" w:rsidR="00CC4789" w:rsidRPr="007B0071" w:rsidRDefault="00CC4789" w:rsidP="00B57AB9">
      <w:pPr>
        <w:spacing w:after="0" w:line="360" w:lineRule="auto"/>
        <w:ind w:firstLine="426"/>
        <w:jc w:val="both"/>
        <w:rPr>
          <w:rFonts w:ascii="AcadNusx" w:hAnsi="AcadNusx"/>
          <w:b/>
          <w:i/>
          <w:lang w:val="es-MX"/>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17FFEE5" w14:textId="53FE98C0" w:rsidR="00CC4789" w:rsidRPr="00F27D00" w:rsidRDefault="00CC4789" w:rsidP="00B57AB9">
      <w:pPr>
        <w:spacing w:after="0" w:line="360" w:lineRule="auto"/>
        <w:ind w:firstLine="426"/>
        <w:jc w:val="both"/>
        <w:rPr>
          <w:rFonts w:ascii="Sylfaen" w:hAnsi="Sylfaen"/>
          <w:lang w:val="ka-GE"/>
        </w:rPr>
      </w:pPr>
      <w:r w:rsidRPr="007B0071">
        <w:rPr>
          <w:rFonts w:ascii="Sylfaen" w:hAnsi="Sylfaen"/>
          <w:lang w:val="ka-GE"/>
        </w:rPr>
        <w:t xml:space="preserve"> </w:t>
      </w:r>
    </w:p>
    <w:p w14:paraId="5D4DB8DD" w14:textId="74E16111" w:rsidR="008246F4" w:rsidRPr="007B0071" w:rsidRDefault="008330ED" w:rsidP="008330ED">
      <w:pPr>
        <w:pStyle w:val="ListParagraph"/>
        <w:numPr>
          <w:ilvl w:val="1"/>
          <w:numId w:val="34"/>
        </w:numPr>
        <w:spacing w:after="0" w:line="360" w:lineRule="auto"/>
        <w:jc w:val="both"/>
        <w:rPr>
          <w:rFonts w:ascii="Sylfaen" w:hAnsi="Sylfaen"/>
          <w:b/>
          <w:lang w:val="ka-GE"/>
        </w:rPr>
      </w:pPr>
      <w:r>
        <w:rPr>
          <w:rFonts w:ascii="Sylfaen" w:hAnsi="Sylfaen"/>
          <w:b/>
        </w:rPr>
        <w:t xml:space="preserve">  </w:t>
      </w:r>
      <w:r w:rsidR="00E94ED1" w:rsidRPr="007B0071">
        <w:rPr>
          <w:rFonts w:ascii="Sylfaen" w:hAnsi="Sylfaen"/>
          <w:b/>
          <w:lang w:val="ka-GE"/>
        </w:rPr>
        <w:t>ინ</w:t>
      </w:r>
      <w:r w:rsidR="00CC4789" w:rsidRPr="007B0071">
        <w:rPr>
          <w:rFonts w:ascii="Sylfaen" w:hAnsi="Sylfaen"/>
          <w:b/>
          <w:lang w:val="ka-GE"/>
        </w:rPr>
        <w:t>ფორმაცია ელექტრონულ ტენდერში მონაწილეთათვი</w:t>
      </w:r>
      <w:r w:rsidR="00CC4789" w:rsidRPr="007B0071">
        <w:rPr>
          <w:rFonts w:ascii="Sylfaen" w:hAnsi="Sylfaen" w:cs="Sylfaen"/>
          <w:b/>
          <w:lang w:val="ka-GE"/>
        </w:rPr>
        <w:t>ს</w:t>
      </w:r>
    </w:p>
    <w:p w14:paraId="6851B73D" w14:textId="105278A6" w:rsidR="00A35A9C" w:rsidRPr="007B0071" w:rsidRDefault="00E4722A" w:rsidP="00B57AB9">
      <w:pPr>
        <w:spacing w:after="0" w:line="360" w:lineRule="auto"/>
        <w:ind w:left="360"/>
        <w:jc w:val="both"/>
        <w:rPr>
          <w:rFonts w:ascii="Sylfaen" w:hAnsi="Sylfaen"/>
          <w:lang w:val="ka-GE"/>
        </w:rPr>
      </w:pPr>
      <w:r>
        <w:rPr>
          <w:rFonts w:ascii="Sylfaen" w:hAnsi="Sylfaen"/>
          <w:lang w:val="ka-GE"/>
        </w:rPr>
        <w:t xml:space="preserve">1.12.1 </w:t>
      </w:r>
      <w:r w:rsidR="008246F4" w:rsidRPr="007B0071">
        <w:rPr>
          <w:rFonts w:ascii="Sylfaen" w:hAnsi="Sylfaen"/>
          <w:b/>
          <w:lang w:val="ka-GE"/>
        </w:rPr>
        <w:t xml:space="preserve"> </w:t>
      </w:r>
      <w:r w:rsidR="008246F4"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008246F4" w:rsidRPr="007B0071">
        <w:rPr>
          <w:rFonts w:ascii="Sylfaen" w:hAnsi="Sylfaen"/>
        </w:rPr>
        <w:t>tenders.ge-</w:t>
      </w:r>
      <w:r w:rsidR="008246F4" w:rsidRPr="007B0071">
        <w:rPr>
          <w:rFonts w:ascii="Sylfaen" w:hAnsi="Sylfaen"/>
          <w:lang w:val="ka-GE"/>
        </w:rPr>
        <w:t>ს პორტალის ონლაინ კითხვა-პასუხის რეჟიმი;</w:t>
      </w:r>
    </w:p>
    <w:p w14:paraId="07759AD7" w14:textId="03D87217" w:rsidR="001258A9" w:rsidRPr="007B0071" w:rsidRDefault="00E4722A" w:rsidP="00B57AB9">
      <w:pPr>
        <w:spacing w:after="0" w:line="360" w:lineRule="auto"/>
        <w:ind w:left="360"/>
        <w:jc w:val="both"/>
        <w:rPr>
          <w:rFonts w:ascii="Sylfaen" w:hAnsi="Sylfaen"/>
          <w:lang w:val="ka-GE"/>
        </w:rPr>
      </w:pPr>
      <w:r>
        <w:rPr>
          <w:rFonts w:ascii="Sylfaen" w:hAnsi="Sylfaen"/>
          <w:lang w:val="ka-GE"/>
        </w:rPr>
        <w:t>1.12</w:t>
      </w:r>
      <w:r w:rsidR="001258A9" w:rsidRPr="007B0071">
        <w:rPr>
          <w:rFonts w:ascii="Sylfaen" w:hAnsi="Sylfaen"/>
          <w:lang w:val="ka-GE"/>
        </w:rPr>
        <w:t xml:space="preserve">.2 </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hyperlink r:id="rId13" w:history="1">
        <w:r w:rsidR="007E0304" w:rsidRPr="007B0071">
          <w:rPr>
            <w:rStyle w:val="Hyperlink"/>
            <w:rFonts w:ascii="Sylfaen" w:hAnsi="Sylfaen"/>
            <w:lang w:val="ka-GE"/>
          </w:rPr>
          <w:t>www.tenders.ge</w:t>
        </w:r>
      </w:hyperlink>
    </w:p>
    <w:p w14:paraId="2EE38DE1" w14:textId="7A55E796" w:rsidR="007E0304" w:rsidRPr="007B0071" w:rsidRDefault="00E4722A" w:rsidP="00B57AB9">
      <w:pPr>
        <w:spacing w:after="0" w:line="360" w:lineRule="auto"/>
        <w:ind w:left="360"/>
        <w:jc w:val="both"/>
        <w:rPr>
          <w:rFonts w:ascii="Sylfaen" w:hAnsi="Sylfaen"/>
          <w:lang w:val="ka-GE"/>
        </w:rPr>
      </w:pPr>
      <w:r>
        <w:rPr>
          <w:rFonts w:ascii="Sylfaen" w:hAnsi="Sylfaen"/>
          <w:lang w:val="ka-GE"/>
        </w:rPr>
        <w:t>1.12</w:t>
      </w:r>
      <w:r w:rsidR="007E0304" w:rsidRPr="007B0071">
        <w:rPr>
          <w:rFonts w:ascii="Sylfaen" w:hAnsi="Sylfaen"/>
          <w:lang w:val="ka-GE"/>
        </w:rPr>
        <w:t xml:space="preserve">.3 </w:t>
      </w:r>
      <w:r w:rsidR="007E0304" w:rsidRPr="007B0071">
        <w:rPr>
          <w:rFonts w:ascii="Sylfaen" w:hAnsi="Sylfaen"/>
        </w:rPr>
        <w:t>tenders.ge-</w:t>
      </w:r>
      <w:r w:rsidR="007E0304"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4E47B96C" w14:textId="6013C474" w:rsidR="00E94ED1" w:rsidRDefault="00E94ED1" w:rsidP="00B57AB9">
      <w:pPr>
        <w:spacing w:after="0" w:line="360" w:lineRule="auto"/>
        <w:jc w:val="both"/>
        <w:rPr>
          <w:rFonts w:ascii="Sylfaen" w:hAnsi="Sylfaen"/>
        </w:rPr>
      </w:pPr>
    </w:p>
    <w:p w14:paraId="71646EA1" w14:textId="27FD906F" w:rsidR="00E4722A" w:rsidRDefault="00E4722A" w:rsidP="00B57AB9">
      <w:pPr>
        <w:spacing w:after="0" w:line="360" w:lineRule="auto"/>
        <w:jc w:val="both"/>
        <w:rPr>
          <w:rFonts w:ascii="Sylfaen" w:hAnsi="Sylfaen"/>
        </w:rPr>
      </w:pPr>
    </w:p>
    <w:p w14:paraId="459AADF8" w14:textId="77777777" w:rsidR="00E4722A" w:rsidRPr="007B0071" w:rsidRDefault="00E4722A" w:rsidP="00B57AB9">
      <w:pPr>
        <w:spacing w:after="0" w:line="360" w:lineRule="auto"/>
        <w:jc w:val="both"/>
        <w:rPr>
          <w:rFonts w:ascii="Sylfaen" w:hAnsi="Sylfaen"/>
        </w:rPr>
      </w:pPr>
    </w:p>
    <w:p w14:paraId="3B7F205D" w14:textId="4C53C6EE" w:rsidR="00580531" w:rsidRPr="007B0071" w:rsidRDefault="00580531" w:rsidP="00B57AB9">
      <w:pPr>
        <w:pStyle w:val="ListParagraph"/>
        <w:spacing w:after="0" w:line="360" w:lineRule="auto"/>
        <w:ind w:left="1080"/>
        <w:jc w:val="both"/>
        <w:rPr>
          <w:rFonts w:ascii="Sylfaen" w:hAnsi="Sylfaen"/>
          <w:lang w:val="ka-GE"/>
        </w:rPr>
      </w:pPr>
    </w:p>
    <w:p w14:paraId="4B45BE62" w14:textId="65F3914E" w:rsidR="00C41C03" w:rsidRPr="007B0071" w:rsidRDefault="00F47570" w:rsidP="00B57AB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DA59D87" w14:textId="38E8BBA1" w:rsidR="00C41C03" w:rsidRPr="007B0071" w:rsidRDefault="00C41C03" w:rsidP="00B57AB9">
      <w:pPr>
        <w:spacing w:after="0" w:line="240" w:lineRule="auto"/>
        <w:jc w:val="both"/>
        <w:rPr>
          <w:rFonts w:ascii="Sylfaen" w:hAnsi="Sylfaen"/>
          <w:b/>
          <w:lang w:val="ka-GE"/>
        </w:rPr>
      </w:pPr>
      <w:r w:rsidRPr="007B0071">
        <w:rPr>
          <w:rFonts w:ascii="Sylfaen" w:hAnsi="Sylfaen"/>
          <w:b/>
          <w:lang w:val="ka-GE"/>
        </w:rPr>
        <w:t>შესყიდვების წარმომადგენელი</w:t>
      </w:r>
    </w:p>
    <w:p w14:paraId="4E446840" w14:textId="77777777" w:rsidR="004D3679" w:rsidRPr="007B0071" w:rsidRDefault="004D3679" w:rsidP="00B57AB9">
      <w:pPr>
        <w:spacing w:after="0" w:line="240" w:lineRule="auto"/>
        <w:jc w:val="both"/>
        <w:rPr>
          <w:rFonts w:ascii="Sylfaen" w:hAnsi="Sylfaen"/>
          <w:b/>
          <w:lang w:val="ka-GE"/>
        </w:rPr>
      </w:pPr>
    </w:p>
    <w:p w14:paraId="4EFAD2AB" w14:textId="458E7CC0" w:rsidR="00F827AD" w:rsidRPr="00734FFC" w:rsidRDefault="00F827AD" w:rsidP="00B57AB9">
      <w:pPr>
        <w:spacing w:after="0"/>
        <w:jc w:val="both"/>
        <w:rPr>
          <w:rFonts w:ascii="Sylfaen" w:hAnsi="Sylfaen"/>
        </w:rPr>
      </w:pPr>
      <w:r w:rsidRPr="007B0071">
        <w:rPr>
          <w:rFonts w:ascii="Sylfaen" w:hAnsi="Sylfaen"/>
          <w:lang w:val="ka-GE"/>
        </w:rPr>
        <w:t>საკონტაქტო პირი</w:t>
      </w:r>
      <w:r w:rsidRPr="007B0071">
        <w:rPr>
          <w:rFonts w:ascii="AcadNusx" w:hAnsi="AcadNusx"/>
          <w:lang w:val="ka-GE"/>
        </w:rPr>
        <w:t xml:space="preserve">: </w:t>
      </w:r>
      <w:r w:rsidR="00734FFC">
        <w:rPr>
          <w:rFonts w:ascii="Sylfaen" w:hAnsi="Sylfaen"/>
          <w:lang w:val="ka-GE"/>
        </w:rPr>
        <w:t>მარიამ სილაგაძე</w:t>
      </w:r>
    </w:p>
    <w:p w14:paraId="0770D665" w14:textId="77777777" w:rsidR="00F827AD" w:rsidRPr="007B0071" w:rsidRDefault="00F827AD" w:rsidP="00B57AB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0EDDA63A" w14:textId="5E10A3E4" w:rsidR="00F827AD" w:rsidRPr="00734FFC" w:rsidRDefault="00F827AD" w:rsidP="00B57AB9">
      <w:pPr>
        <w:spacing w:after="0"/>
        <w:jc w:val="both"/>
        <w:rPr>
          <w:rFonts w:ascii="Sylfaen" w:hAnsi="Sylfaen" w:cs="Arial"/>
        </w:rPr>
      </w:pPr>
      <w:r w:rsidRPr="007B0071">
        <w:rPr>
          <w:rFonts w:ascii="Sylfaen" w:hAnsi="Sylfaen"/>
          <w:lang w:val="ka-GE"/>
        </w:rPr>
        <w:t>ელ. ფოსტა</w:t>
      </w:r>
      <w:r w:rsidR="001258A9" w:rsidRPr="007B0071">
        <w:rPr>
          <w:rFonts w:ascii="AcadNusx" w:hAnsi="AcadNusx"/>
          <w:lang w:val="ka-GE"/>
        </w:rPr>
        <w:t>:</w:t>
      </w:r>
      <w:r w:rsidR="00734FFC">
        <w:rPr>
          <w:rFonts w:ascii="AcadNusx" w:hAnsi="AcadNusx"/>
        </w:rPr>
        <w:t xml:space="preserve"> </w:t>
      </w:r>
      <w:r w:rsidR="00734FFC">
        <w:rPr>
          <w:rFonts w:ascii="Sylfaen" w:hAnsi="Sylfaen"/>
        </w:rPr>
        <w:t>msilagadze@gwp.ge</w:t>
      </w:r>
    </w:p>
    <w:p w14:paraId="342C22DB" w14:textId="5DF408B6" w:rsidR="00734FFC" w:rsidRPr="00734FFC" w:rsidRDefault="00F827AD" w:rsidP="00B57AB9">
      <w:pPr>
        <w:spacing w:after="0"/>
        <w:jc w:val="both"/>
        <w:rPr>
          <w:rFonts w:cs="Arial"/>
        </w:rPr>
      </w:pPr>
      <w:r w:rsidRPr="007B0071">
        <w:rPr>
          <w:rFonts w:ascii="Sylfaen" w:hAnsi="Sylfaen"/>
          <w:lang w:val="ka-GE"/>
        </w:rPr>
        <w:t>ტელ.</w:t>
      </w:r>
      <w:r w:rsidRPr="007B0071">
        <w:rPr>
          <w:rFonts w:ascii="Arial" w:hAnsi="Arial" w:cs="Arial"/>
          <w:lang w:val="ka-GE"/>
        </w:rPr>
        <w:t xml:space="preserve">: </w:t>
      </w:r>
      <w:r w:rsidR="00734FFC" w:rsidRPr="00734FFC">
        <w:rPr>
          <w:rFonts w:cs="Arial"/>
          <w:lang w:val="ka-GE"/>
        </w:rPr>
        <w:t>+995 32 2 93 11 11 </w:t>
      </w:r>
      <w:r w:rsidR="00734FFC">
        <w:rPr>
          <w:rFonts w:cs="Arial"/>
        </w:rPr>
        <w:t>(1147); 599 72 30 03</w:t>
      </w:r>
    </w:p>
    <w:p w14:paraId="4B905149" w14:textId="77777777" w:rsidR="00F827AD" w:rsidRPr="007B0071" w:rsidRDefault="00F827AD" w:rsidP="00B57AB9">
      <w:pPr>
        <w:spacing w:after="0"/>
        <w:jc w:val="both"/>
        <w:rPr>
          <w:rFonts w:ascii="Sylfaen" w:hAnsi="Sylfaen" w:cs="Sylfaen"/>
          <w:lang w:val="ka-GE"/>
        </w:rPr>
      </w:pPr>
    </w:p>
    <w:p w14:paraId="226F626E" w14:textId="77777777" w:rsidR="005E130F" w:rsidRPr="007B0071" w:rsidRDefault="005E130F" w:rsidP="00B57AB9">
      <w:pPr>
        <w:spacing w:after="0"/>
        <w:jc w:val="both"/>
        <w:rPr>
          <w:lang w:val="ka-GE"/>
        </w:rPr>
      </w:pPr>
      <w:r w:rsidRPr="007B0071">
        <w:rPr>
          <w:rFonts w:ascii="Sylfaen" w:hAnsi="Sylfaen" w:cs="Sylfaen"/>
          <w:lang w:val="ka-GE"/>
        </w:rPr>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Pr="007B0071">
        <w:rPr>
          <w:rFonts w:ascii="Sylfaen" w:hAnsi="Sylfaen" w:cs="Sylfaen"/>
          <w:lang w:val="ka-GE"/>
        </w:rPr>
        <w:t xml:space="preserve">თეკლა მურვანიძე </w:t>
      </w:r>
    </w:p>
    <w:p w14:paraId="261FD56D" w14:textId="77777777" w:rsidR="005E130F" w:rsidRPr="007B0071" w:rsidRDefault="005E130F" w:rsidP="00B57AB9">
      <w:pPr>
        <w:spacing w:after="0"/>
        <w:jc w:val="both"/>
        <w:rPr>
          <w:lang w:val="ka-GE"/>
        </w:rPr>
      </w:pPr>
      <w:r w:rsidRPr="007B0071">
        <w:rPr>
          <w:rFonts w:ascii="Sylfaen" w:hAnsi="Sylfaen" w:cs="Sylfaen"/>
          <w:lang w:val="ka-GE"/>
        </w:rPr>
        <w:t>მის</w:t>
      </w:r>
      <w:r w:rsidRPr="007B0071">
        <w:rPr>
          <w:lang w:val="ka-GE"/>
        </w:rPr>
        <w:t xml:space="preserve">.: </w:t>
      </w:r>
      <w:r w:rsidRPr="007B0071">
        <w:rPr>
          <w:rFonts w:ascii="Sylfaen" w:hAnsi="Sylfaen" w:cs="Sylfaen"/>
          <w:lang w:val="ka-GE"/>
        </w:rPr>
        <w:t>ქ</w:t>
      </w:r>
      <w:r w:rsidRPr="007B0071">
        <w:rPr>
          <w:lang w:val="ka-GE"/>
        </w:rPr>
        <w:t xml:space="preserve">. </w:t>
      </w:r>
      <w:r w:rsidRPr="007B0071">
        <w:rPr>
          <w:rFonts w:ascii="Sylfaen" w:hAnsi="Sylfaen" w:cs="Sylfaen"/>
          <w:lang w:val="ka-GE"/>
        </w:rPr>
        <w:t>თბილისი</w:t>
      </w:r>
      <w:r w:rsidRPr="007B0071">
        <w:rPr>
          <w:lang w:val="ka-GE"/>
        </w:rPr>
        <w:t xml:space="preserve">, </w:t>
      </w:r>
      <w:r w:rsidRPr="007B0071">
        <w:rPr>
          <w:rFonts w:ascii="Sylfaen" w:hAnsi="Sylfaen" w:cs="Sylfaen"/>
          <w:lang w:val="ka-GE"/>
        </w:rPr>
        <w:t>კოსტავას</w:t>
      </w:r>
      <w:r w:rsidRPr="007B0071">
        <w:rPr>
          <w:lang w:val="ka-GE"/>
        </w:rPr>
        <w:t xml:space="preserve"> I </w:t>
      </w:r>
      <w:r w:rsidRPr="007B0071">
        <w:rPr>
          <w:rFonts w:ascii="Sylfaen" w:hAnsi="Sylfaen" w:cs="Sylfaen"/>
          <w:lang w:val="ka-GE"/>
        </w:rPr>
        <w:t>შესახვევი</w:t>
      </w:r>
      <w:r w:rsidRPr="007B0071">
        <w:rPr>
          <w:lang w:val="ka-GE"/>
        </w:rPr>
        <w:t>, 33</w:t>
      </w:r>
    </w:p>
    <w:p w14:paraId="2E4B8AAB" w14:textId="77777777" w:rsidR="005E130F" w:rsidRPr="007B0071" w:rsidRDefault="005E130F" w:rsidP="00B57AB9">
      <w:pPr>
        <w:spacing w:after="0"/>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r w:rsidRPr="007B0071">
        <w:rPr>
          <w:rFonts w:ascii="Sylfaen" w:hAnsi="Sylfaen"/>
        </w:rPr>
        <w:t>tmurvanidze</w:t>
      </w:r>
      <w:r w:rsidRPr="007B0071">
        <w:rPr>
          <w:rFonts w:ascii="Sylfaen" w:hAnsi="Sylfaen" w:cs="Arial"/>
          <w:lang w:val="ka-GE"/>
        </w:rPr>
        <w:t>@gwp.ge</w:t>
      </w:r>
    </w:p>
    <w:p w14:paraId="23139452" w14:textId="17B45F8F" w:rsidR="005E130F" w:rsidRPr="007B0071" w:rsidRDefault="005E130F" w:rsidP="00B57AB9">
      <w:pPr>
        <w:spacing w:after="0"/>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+995 322 931111</w:t>
      </w:r>
      <w:r w:rsidR="00D2709F" w:rsidRPr="007B0071">
        <w:rPr>
          <w:rFonts w:ascii="Sylfaen" w:hAnsi="Sylfaen" w:cs="Arial"/>
          <w:lang w:val="ka-GE"/>
        </w:rPr>
        <w:t xml:space="preserve"> (1141)</w:t>
      </w:r>
      <w:r w:rsidRPr="007B0071">
        <w:rPr>
          <w:rFonts w:cs="Arial"/>
          <w:lang w:val="ka-GE"/>
        </w:rPr>
        <w:t xml:space="preserve">; </w:t>
      </w:r>
      <w:r w:rsidRPr="007B0071">
        <w:rPr>
          <w:rFonts w:ascii="Sylfaen" w:hAnsi="Sylfaen" w:cs="Arial"/>
          <w:lang w:val="ka-GE"/>
        </w:rPr>
        <w:t>595 523 381</w:t>
      </w:r>
    </w:p>
    <w:p w14:paraId="15186467" w14:textId="77777777" w:rsidR="00F827AD" w:rsidRPr="007B0071" w:rsidRDefault="00F827AD" w:rsidP="00B57AB9">
      <w:pPr>
        <w:spacing w:after="0"/>
        <w:jc w:val="both"/>
        <w:rPr>
          <w:rFonts w:ascii="Sylfaen" w:hAnsi="Sylfaen" w:cs="Arial"/>
          <w:lang w:val="ka-GE"/>
        </w:rPr>
      </w:pPr>
    </w:p>
    <w:p w14:paraId="58D236C0" w14:textId="31E8204B" w:rsidR="00237416" w:rsidRPr="007B0071" w:rsidRDefault="00237416" w:rsidP="00B57AB9">
      <w:pPr>
        <w:spacing w:after="0" w:line="360" w:lineRule="auto"/>
        <w:jc w:val="both"/>
        <w:rPr>
          <w:rFonts w:ascii="AcadNusx" w:hAnsi="AcadNusx"/>
        </w:rPr>
      </w:pPr>
      <w:bookmarkStart w:id="3" w:name="_Toc454818556"/>
      <w:bookmarkEnd w:id="3"/>
    </w:p>
    <w:p w14:paraId="7954CF42" w14:textId="42407145" w:rsidR="003C6F22" w:rsidRPr="007B0071" w:rsidRDefault="003C6F22" w:rsidP="00667B1F"/>
    <w:sectPr w:rsidR="003C6F22" w:rsidRPr="007B0071"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10D7" w14:textId="77777777" w:rsidR="003547E4" w:rsidRDefault="003547E4" w:rsidP="007902EA">
      <w:pPr>
        <w:spacing w:after="0" w:line="240" w:lineRule="auto"/>
      </w:pPr>
      <w:r>
        <w:separator/>
      </w:r>
    </w:p>
  </w:endnote>
  <w:endnote w:type="continuationSeparator" w:id="0">
    <w:p w14:paraId="4A6C0172" w14:textId="77777777" w:rsidR="003547E4" w:rsidRDefault="003547E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2F6864A" w:rsidR="008C306A" w:rsidRDefault="008C306A">
        <w:pPr>
          <w:pStyle w:val="Footer"/>
          <w:jc w:val="right"/>
        </w:pPr>
        <w:r>
          <w:fldChar w:fldCharType="begin"/>
        </w:r>
        <w:r>
          <w:instrText xml:space="preserve"> PAGE   \* MERGEFORMAT </w:instrText>
        </w:r>
        <w:r>
          <w:fldChar w:fldCharType="separate"/>
        </w:r>
        <w:r w:rsidR="00920492">
          <w:rPr>
            <w:noProof/>
          </w:rPr>
          <w:t>7</w:t>
        </w:r>
        <w:r>
          <w:rPr>
            <w:noProof/>
          </w:rPr>
          <w:fldChar w:fldCharType="end"/>
        </w:r>
      </w:p>
    </w:sdtContent>
  </w:sdt>
  <w:p w14:paraId="4637608E" w14:textId="77777777" w:rsidR="008C306A" w:rsidRDefault="008C30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B93D9" w14:textId="77777777" w:rsidR="003547E4" w:rsidRDefault="003547E4" w:rsidP="007902EA">
      <w:pPr>
        <w:spacing w:after="0" w:line="240" w:lineRule="auto"/>
      </w:pPr>
      <w:r>
        <w:separator/>
      </w:r>
    </w:p>
  </w:footnote>
  <w:footnote w:type="continuationSeparator" w:id="0">
    <w:p w14:paraId="6DEB41FC" w14:textId="77777777" w:rsidR="003547E4" w:rsidRDefault="003547E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8C306A" w:rsidRDefault="008C306A" w:rsidP="00A74B75">
    <w:pPr>
      <w:spacing w:after="0" w:line="360" w:lineRule="auto"/>
      <w:jc w:val="right"/>
      <w:rPr>
        <w:rFonts w:ascii="Sylfaen" w:hAnsi="Sylfaen"/>
        <w:b/>
        <w:sz w:val="18"/>
        <w:szCs w:val="18"/>
        <w:lang w:val="ka-GE"/>
      </w:rPr>
    </w:pPr>
  </w:p>
  <w:p w14:paraId="1459A3AD" w14:textId="77777777" w:rsidR="008C306A" w:rsidRDefault="008C30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59B6C22"/>
    <w:multiLevelType w:val="multilevel"/>
    <w:tmpl w:val="1FD219B6"/>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30879E6"/>
    <w:multiLevelType w:val="multilevel"/>
    <w:tmpl w:val="6FD80A32"/>
    <w:lvl w:ilvl="0">
      <w:start w:val="1"/>
      <w:numFmt w:val="decimal"/>
      <w:lvlText w:val="%1"/>
      <w:lvlJc w:val="left"/>
      <w:pPr>
        <w:ind w:left="410" w:hanging="410"/>
      </w:pPr>
      <w:rPr>
        <w:rFonts w:cs="Sylfaen" w:hint="default"/>
      </w:rPr>
    </w:lvl>
    <w:lvl w:ilvl="1">
      <w:start w:val="12"/>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6354A2"/>
    <w:multiLevelType w:val="hybridMultilevel"/>
    <w:tmpl w:val="46AEC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4DD0E6F"/>
    <w:multiLevelType w:val="multilevel"/>
    <w:tmpl w:val="E2A6BEC4"/>
    <w:lvl w:ilvl="0">
      <w:start w:val="1"/>
      <w:numFmt w:val="decimal"/>
      <w:lvlText w:val="%1"/>
      <w:lvlJc w:val="left"/>
      <w:pPr>
        <w:ind w:left="410" w:hanging="410"/>
      </w:pPr>
      <w:rPr>
        <w:rFonts w:cs="Sylfaen" w:hint="default"/>
      </w:rPr>
    </w:lvl>
    <w:lvl w:ilvl="1">
      <w:start w:val="11"/>
      <w:numFmt w:val="decimal"/>
      <w:lvlText w:val="%1.%2"/>
      <w:lvlJc w:val="left"/>
      <w:pPr>
        <w:ind w:left="820" w:hanging="41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3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33"/>
  </w:num>
  <w:num w:numId="5">
    <w:abstractNumId w:val="14"/>
  </w:num>
  <w:num w:numId="6">
    <w:abstractNumId w:val="5"/>
  </w:num>
  <w:num w:numId="7">
    <w:abstractNumId w:val="4"/>
  </w:num>
  <w:num w:numId="8">
    <w:abstractNumId w:val="26"/>
  </w:num>
  <w:num w:numId="9">
    <w:abstractNumId w:val="30"/>
  </w:num>
  <w:num w:numId="10">
    <w:abstractNumId w:val="16"/>
  </w:num>
  <w:num w:numId="11">
    <w:abstractNumId w:val="7"/>
  </w:num>
  <w:num w:numId="12">
    <w:abstractNumId w:val="12"/>
  </w:num>
  <w:num w:numId="13">
    <w:abstractNumId w:val="22"/>
  </w:num>
  <w:num w:numId="14">
    <w:abstractNumId w:val="18"/>
  </w:num>
  <w:num w:numId="15">
    <w:abstractNumId w:val="10"/>
  </w:num>
  <w:num w:numId="16">
    <w:abstractNumId w:val="28"/>
  </w:num>
  <w:num w:numId="17">
    <w:abstractNumId w:val="20"/>
  </w:num>
  <w:num w:numId="18">
    <w:abstractNumId w:val="19"/>
  </w:num>
  <w:num w:numId="19">
    <w:abstractNumId w:val="6"/>
  </w:num>
  <w:num w:numId="20">
    <w:abstractNumId w:val="2"/>
  </w:num>
  <w:num w:numId="21">
    <w:abstractNumId w:val="32"/>
  </w:num>
  <w:num w:numId="22">
    <w:abstractNumId w:val="35"/>
  </w:num>
  <w:num w:numId="23">
    <w:abstractNumId w:val="13"/>
  </w:num>
  <w:num w:numId="24">
    <w:abstractNumId w:val="29"/>
  </w:num>
  <w:num w:numId="25">
    <w:abstractNumId w:val="9"/>
  </w:num>
  <w:num w:numId="26">
    <w:abstractNumId w:val="25"/>
  </w:num>
  <w:num w:numId="27">
    <w:abstractNumId w:val="3"/>
  </w:num>
  <w:num w:numId="28">
    <w:abstractNumId w:val="23"/>
  </w:num>
  <w:num w:numId="29">
    <w:abstractNumId w:val="21"/>
  </w:num>
  <w:num w:numId="30">
    <w:abstractNumId w:val="27"/>
  </w:num>
  <w:num w:numId="31">
    <w:abstractNumId w:val="31"/>
  </w:num>
  <w:num w:numId="32">
    <w:abstractNumId w:val="24"/>
  </w:num>
  <w:num w:numId="33">
    <w:abstractNumId w:val="17"/>
  </w:num>
  <w:num w:numId="34">
    <w:abstractNumId w:val="11"/>
  </w:num>
  <w:num w:numId="35">
    <w:abstractNumId w:val="34"/>
  </w:num>
  <w:num w:numId="3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6DB"/>
    <w:rsid w:val="00014051"/>
    <w:rsid w:val="00015E1B"/>
    <w:rsid w:val="000202A5"/>
    <w:rsid w:val="00021D72"/>
    <w:rsid w:val="00026B30"/>
    <w:rsid w:val="00027D70"/>
    <w:rsid w:val="00031452"/>
    <w:rsid w:val="000353F8"/>
    <w:rsid w:val="00036CF5"/>
    <w:rsid w:val="00046082"/>
    <w:rsid w:val="00046B41"/>
    <w:rsid w:val="0004786C"/>
    <w:rsid w:val="00051E54"/>
    <w:rsid w:val="00053EAB"/>
    <w:rsid w:val="0005435C"/>
    <w:rsid w:val="00055E1E"/>
    <w:rsid w:val="00056A31"/>
    <w:rsid w:val="00064AB9"/>
    <w:rsid w:val="00081D42"/>
    <w:rsid w:val="00092A77"/>
    <w:rsid w:val="00092E77"/>
    <w:rsid w:val="00095FD1"/>
    <w:rsid w:val="000974B9"/>
    <w:rsid w:val="000A0D72"/>
    <w:rsid w:val="000B079D"/>
    <w:rsid w:val="000B1C85"/>
    <w:rsid w:val="000B4C5E"/>
    <w:rsid w:val="000B5D0F"/>
    <w:rsid w:val="000C3223"/>
    <w:rsid w:val="000D5BB4"/>
    <w:rsid w:val="000D68A2"/>
    <w:rsid w:val="000D6A37"/>
    <w:rsid w:val="000E5617"/>
    <w:rsid w:val="000F03A0"/>
    <w:rsid w:val="000F3872"/>
    <w:rsid w:val="000F3DD2"/>
    <w:rsid w:val="000F4D71"/>
    <w:rsid w:val="000F63C5"/>
    <w:rsid w:val="00110CCE"/>
    <w:rsid w:val="00116D4F"/>
    <w:rsid w:val="00117164"/>
    <w:rsid w:val="00120724"/>
    <w:rsid w:val="00122148"/>
    <w:rsid w:val="001258A9"/>
    <w:rsid w:val="00127F44"/>
    <w:rsid w:val="00131B75"/>
    <w:rsid w:val="00136124"/>
    <w:rsid w:val="00137719"/>
    <w:rsid w:val="00137EB0"/>
    <w:rsid w:val="001433C2"/>
    <w:rsid w:val="001461E6"/>
    <w:rsid w:val="00156D6D"/>
    <w:rsid w:val="001575CA"/>
    <w:rsid w:val="00161677"/>
    <w:rsid w:val="00162053"/>
    <w:rsid w:val="001628FD"/>
    <w:rsid w:val="00171C91"/>
    <w:rsid w:val="00172F99"/>
    <w:rsid w:val="0017792E"/>
    <w:rsid w:val="00185C9D"/>
    <w:rsid w:val="00194044"/>
    <w:rsid w:val="001A1F3C"/>
    <w:rsid w:val="001A24DD"/>
    <w:rsid w:val="001A47AF"/>
    <w:rsid w:val="001B055A"/>
    <w:rsid w:val="001B0D00"/>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503D"/>
    <w:rsid w:val="00216A8E"/>
    <w:rsid w:val="00216B88"/>
    <w:rsid w:val="002319CA"/>
    <w:rsid w:val="00237416"/>
    <w:rsid w:val="0024045E"/>
    <w:rsid w:val="00241768"/>
    <w:rsid w:val="002422D6"/>
    <w:rsid w:val="00242DF1"/>
    <w:rsid w:val="002468A9"/>
    <w:rsid w:val="0025658B"/>
    <w:rsid w:val="002568CE"/>
    <w:rsid w:val="00257F36"/>
    <w:rsid w:val="00265727"/>
    <w:rsid w:val="00266CA0"/>
    <w:rsid w:val="00270BF2"/>
    <w:rsid w:val="00272EB2"/>
    <w:rsid w:val="00275958"/>
    <w:rsid w:val="00276F7A"/>
    <w:rsid w:val="002778A0"/>
    <w:rsid w:val="00277B37"/>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E5E"/>
    <w:rsid w:val="002F2369"/>
    <w:rsid w:val="003011B3"/>
    <w:rsid w:val="00302948"/>
    <w:rsid w:val="00303697"/>
    <w:rsid w:val="003055CD"/>
    <w:rsid w:val="0030730D"/>
    <w:rsid w:val="003157B5"/>
    <w:rsid w:val="00316C88"/>
    <w:rsid w:val="00320435"/>
    <w:rsid w:val="00320878"/>
    <w:rsid w:val="0033101C"/>
    <w:rsid w:val="0033397E"/>
    <w:rsid w:val="00335733"/>
    <w:rsid w:val="00340CC3"/>
    <w:rsid w:val="00347FE0"/>
    <w:rsid w:val="00352B31"/>
    <w:rsid w:val="003547E4"/>
    <w:rsid w:val="00357317"/>
    <w:rsid w:val="003573F4"/>
    <w:rsid w:val="003657A5"/>
    <w:rsid w:val="00366AEC"/>
    <w:rsid w:val="00373F3E"/>
    <w:rsid w:val="00374AFF"/>
    <w:rsid w:val="00377D43"/>
    <w:rsid w:val="00384F26"/>
    <w:rsid w:val="00385373"/>
    <w:rsid w:val="003859BA"/>
    <w:rsid w:val="00387591"/>
    <w:rsid w:val="00387AB5"/>
    <w:rsid w:val="00387DC7"/>
    <w:rsid w:val="00391AB5"/>
    <w:rsid w:val="003A4DAA"/>
    <w:rsid w:val="003A5D91"/>
    <w:rsid w:val="003B460D"/>
    <w:rsid w:val="003B5A5E"/>
    <w:rsid w:val="003C568B"/>
    <w:rsid w:val="003C6F22"/>
    <w:rsid w:val="003D6473"/>
    <w:rsid w:val="003E15FA"/>
    <w:rsid w:val="003F370C"/>
    <w:rsid w:val="003F5521"/>
    <w:rsid w:val="003F699A"/>
    <w:rsid w:val="00405AEF"/>
    <w:rsid w:val="00410EC6"/>
    <w:rsid w:val="0041258C"/>
    <w:rsid w:val="00430AF7"/>
    <w:rsid w:val="00431665"/>
    <w:rsid w:val="00431B3C"/>
    <w:rsid w:val="00434300"/>
    <w:rsid w:val="004375BF"/>
    <w:rsid w:val="00442F86"/>
    <w:rsid w:val="004446E6"/>
    <w:rsid w:val="00446516"/>
    <w:rsid w:val="00452128"/>
    <w:rsid w:val="004533A4"/>
    <w:rsid w:val="00457067"/>
    <w:rsid w:val="00462CA0"/>
    <w:rsid w:val="0046501B"/>
    <w:rsid w:val="00471713"/>
    <w:rsid w:val="004717AB"/>
    <w:rsid w:val="00475293"/>
    <w:rsid w:val="00483B17"/>
    <w:rsid w:val="00484DB6"/>
    <w:rsid w:val="0048659C"/>
    <w:rsid w:val="00497393"/>
    <w:rsid w:val="004A3BD8"/>
    <w:rsid w:val="004A66FB"/>
    <w:rsid w:val="004A7C56"/>
    <w:rsid w:val="004B09C9"/>
    <w:rsid w:val="004B38D4"/>
    <w:rsid w:val="004C1E0D"/>
    <w:rsid w:val="004C6C80"/>
    <w:rsid w:val="004D3679"/>
    <w:rsid w:val="004D3D1C"/>
    <w:rsid w:val="004D747F"/>
    <w:rsid w:val="004E36F2"/>
    <w:rsid w:val="005111AB"/>
    <w:rsid w:val="0052656B"/>
    <w:rsid w:val="0053604D"/>
    <w:rsid w:val="00540038"/>
    <w:rsid w:val="00544856"/>
    <w:rsid w:val="005553C3"/>
    <w:rsid w:val="00556BD6"/>
    <w:rsid w:val="00567ACA"/>
    <w:rsid w:val="0057474B"/>
    <w:rsid w:val="00575D3E"/>
    <w:rsid w:val="00580531"/>
    <w:rsid w:val="005832A4"/>
    <w:rsid w:val="00583B48"/>
    <w:rsid w:val="00586056"/>
    <w:rsid w:val="00586C84"/>
    <w:rsid w:val="00595E4B"/>
    <w:rsid w:val="005A0827"/>
    <w:rsid w:val="005A2014"/>
    <w:rsid w:val="005C14A4"/>
    <w:rsid w:val="005D3B83"/>
    <w:rsid w:val="005E05B1"/>
    <w:rsid w:val="005E130F"/>
    <w:rsid w:val="005F3357"/>
    <w:rsid w:val="00610FC8"/>
    <w:rsid w:val="006126EA"/>
    <w:rsid w:val="00615BD2"/>
    <w:rsid w:val="006301BA"/>
    <w:rsid w:val="00632910"/>
    <w:rsid w:val="00633210"/>
    <w:rsid w:val="00634B58"/>
    <w:rsid w:val="006447A4"/>
    <w:rsid w:val="00661B3E"/>
    <w:rsid w:val="00665219"/>
    <w:rsid w:val="00665C42"/>
    <w:rsid w:val="00667B1F"/>
    <w:rsid w:val="00670B37"/>
    <w:rsid w:val="00674470"/>
    <w:rsid w:val="0067481E"/>
    <w:rsid w:val="00674F71"/>
    <w:rsid w:val="006760F6"/>
    <w:rsid w:val="00680844"/>
    <w:rsid w:val="00681B23"/>
    <w:rsid w:val="00683946"/>
    <w:rsid w:val="00685F30"/>
    <w:rsid w:val="00692B13"/>
    <w:rsid w:val="00693BA5"/>
    <w:rsid w:val="0069500B"/>
    <w:rsid w:val="006A256D"/>
    <w:rsid w:val="006A3D31"/>
    <w:rsid w:val="006A7B28"/>
    <w:rsid w:val="006B3368"/>
    <w:rsid w:val="006C1436"/>
    <w:rsid w:val="006C7D3F"/>
    <w:rsid w:val="006C7E00"/>
    <w:rsid w:val="006D054A"/>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62943"/>
    <w:rsid w:val="00764A65"/>
    <w:rsid w:val="007715BA"/>
    <w:rsid w:val="00772078"/>
    <w:rsid w:val="007778CE"/>
    <w:rsid w:val="007902EA"/>
    <w:rsid w:val="0079252D"/>
    <w:rsid w:val="00794191"/>
    <w:rsid w:val="00796BF5"/>
    <w:rsid w:val="007A16C6"/>
    <w:rsid w:val="007A28C4"/>
    <w:rsid w:val="007A330B"/>
    <w:rsid w:val="007A6E1A"/>
    <w:rsid w:val="007A7424"/>
    <w:rsid w:val="007B0071"/>
    <w:rsid w:val="007B4C58"/>
    <w:rsid w:val="007B7D53"/>
    <w:rsid w:val="007C482E"/>
    <w:rsid w:val="007C4D48"/>
    <w:rsid w:val="007D2CC8"/>
    <w:rsid w:val="007D3F97"/>
    <w:rsid w:val="007D73CE"/>
    <w:rsid w:val="007E0304"/>
    <w:rsid w:val="007E1E28"/>
    <w:rsid w:val="007F1D40"/>
    <w:rsid w:val="007F3AA0"/>
    <w:rsid w:val="007F4F2B"/>
    <w:rsid w:val="007F7ADB"/>
    <w:rsid w:val="0081634F"/>
    <w:rsid w:val="008225F7"/>
    <w:rsid w:val="00823B92"/>
    <w:rsid w:val="008246F4"/>
    <w:rsid w:val="00824EDA"/>
    <w:rsid w:val="008330ED"/>
    <w:rsid w:val="00833770"/>
    <w:rsid w:val="0083614B"/>
    <w:rsid w:val="008374C0"/>
    <w:rsid w:val="008401B6"/>
    <w:rsid w:val="008421EC"/>
    <w:rsid w:val="008473E6"/>
    <w:rsid w:val="008647CD"/>
    <w:rsid w:val="00864AD8"/>
    <w:rsid w:val="00867825"/>
    <w:rsid w:val="008751D7"/>
    <w:rsid w:val="00875254"/>
    <w:rsid w:val="00876B2D"/>
    <w:rsid w:val="00876B9D"/>
    <w:rsid w:val="0088287D"/>
    <w:rsid w:val="00885F1A"/>
    <w:rsid w:val="00890026"/>
    <w:rsid w:val="008918CD"/>
    <w:rsid w:val="00894C67"/>
    <w:rsid w:val="00896274"/>
    <w:rsid w:val="008978B9"/>
    <w:rsid w:val="008A5094"/>
    <w:rsid w:val="008A673F"/>
    <w:rsid w:val="008B04EA"/>
    <w:rsid w:val="008B67F1"/>
    <w:rsid w:val="008C04FA"/>
    <w:rsid w:val="008C0A74"/>
    <w:rsid w:val="008C2846"/>
    <w:rsid w:val="008C306A"/>
    <w:rsid w:val="008C35CC"/>
    <w:rsid w:val="008D04C5"/>
    <w:rsid w:val="008E16DA"/>
    <w:rsid w:val="008E3D20"/>
    <w:rsid w:val="008E55E0"/>
    <w:rsid w:val="008F419D"/>
    <w:rsid w:val="0090279D"/>
    <w:rsid w:val="00904044"/>
    <w:rsid w:val="009060DD"/>
    <w:rsid w:val="00913646"/>
    <w:rsid w:val="009138DB"/>
    <w:rsid w:val="00920492"/>
    <w:rsid w:val="00922889"/>
    <w:rsid w:val="00925DC2"/>
    <w:rsid w:val="009261B9"/>
    <w:rsid w:val="00931A9A"/>
    <w:rsid w:val="00931D0D"/>
    <w:rsid w:val="00940D2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67BC"/>
    <w:rsid w:val="00A20CB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4B75"/>
    <w:rsid w:val="00A804C4"/>
    <w:rsid w:val="00A83AF9"/>
    <w:rsid w:val="00A847D4"/>
    <w:rsid w:val="00A935AC"/>
    <w:rsid w:val="00A96330"/>
    <w:rsid w:val="00AA511B"/>
    <w:rsid w:val="00AB755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57AB9"/>
    <w:rsid w:val="00B616CF"/>
    <w:rsid w:val="00B74ABC"/>
    <w:rsid w:val="00B806AE"/>
    <w:rsid w:val="00B830F8"/>
    <w:rsid w:val="00B84106"/>
    <w:rsid w:val="00B92B05"/>
    <w:rsid w:val="00B942E0"/>
    <w:rsid w:val="00B97F4F"/>
    <w:rsid w:val="00BB0F01"/>
    <w:rsid w:val="00BC364F"/>
    <w:rsid w:val="00BD4E51"/>
    <w:rsid w:val="00BE0965"/>
    <w:rsid w:val="00BE187B"/>
    <w:rsid w:val="00BE1A34"/>
    <w:rsid w:val="00BE3060"/>
    <w:rsid w:val="00BE4678"/>
    <w:rsid w:val="00BE50F1"/>
    <w:rsid w:val="00BE6680"/>
    <w:rsid w:val="00BF5EFE"/>
    <w:rsid w:val="00C01CD2"/>
    <w:rsid w:val="00C021B6"/>
    <w:rsid w:val="00C051B6"/>
    <w:rsid w:val="00C06F22"/>
    <w:rsid w:val="00C12270"/>
    <w:rsid w:val="00C141A7"/>
    <w:rsid w:val="00C14986"/>
    <w:rsid w:val="00C14D7A"/>
    <w:rsid w:val="00C33D82"/>
    <w:rsid w:val="00C346F9"/>
    <w:rsid w:val="00C40C8C"/>
    <w:rsid w:val="00C41C03"/>
    <w:rsid w:val="00C55BCF"/>
    <w:rsid w:val="00C6125F"/>
    <w:rsid w:val="00C67999"/>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764E5"/>
    <w:rsid w:val="00D80CDB"/>
    <w:rsid w:val="00D8245F"/>
    <w:rsid w:val="00D86446"/>
    <w:rsid w:val="00D959AB"/>
    <w:rsid w:val="00D95A0F"/>
    <w:rsid w:val="00D96566"/>
    <w:rsid w:val="00DA4009"/>
    <w:rsid w:val="00DA4378"/>
    <w:rsid w:val="00DA5376"/>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6764"/>
    <w:rsid w:val="00E272FF"/>
    <w:rsid w:val="00E3022B"/>
    <w:rsid w:val="00E33A8F"/>
    <w:rsid w:val="00E3778F"/>
    <w:rsid w:val="00E4143A"/>
    <w:rsid w:val="00E41DD4"/>
    <w:rsid w:val="00E42B0C"/>
    <w:rsid w:val="00E45E7B"/>
    <w:rsid w:val="00E46395"/>
    <w:rsid w:val="00E46922"/>
    <w:rsid w:val="00E4722A"/>
    <w:rsid w:val="00E5014E"/>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659D"/>
    <w:rsid w:val="00F069C7"/>
    <w:rsid w:val="00F115A1"/>
    <w:rsid w:val="00F14024"/>
    <w:rsid w:val="00F16E97"/>
    <w:rsid w:val="00F17B32"/>
    <w:rsid w:val="00F20E56"/>
    <w:rsid w:val="00F22E5C"/>
    <w:rsid w:val="00F27A96"/>
    <w:rsid w:val="00F27D00"/>
    <w:rsid w:val="00F34574"/>
    <w:rsid w:val="00F3662E"/>
    <w:rsid w:val="00F40803"/>
    <w:rsid w:val="00F40AB7"/>
    <w:rsid w:val="00F46AB9"/>
    <w:rsid w:val="00F47570"/>
    <w:rsid w:val="00F612B0"/>
    <w:rsid w:val="00F75728"/>
    <w:rsid w:val="00F761D0"/>
    <w:rsid w:val="00F76C63"/>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enders.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6D51-713A-441E-BB99-2988F390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31</cp:revision>
  <cp:lastPrinted>2015-07-27T06:36:00Z</cp:lastPrinted>
  <dcterms:created xsi:type="dcterms:W3CDTF">2020-03-06T08:43:00Z</dcterms:created>
  <dcterms:modified xsi:type="dcterms:W3CDTF">2020-03-09T10:15:00Z</dcterms:modified>
</cp:coreProperties>
</file>